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137160</wp:posOffset>
            </wp:positionV>
            <wp:extent cx="320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139065</wp:posOffset>
            </wp:positionV>
            <wp:extent cx="32061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ind w:left="680" w:right="40" w:hanging="654"/>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680"/>
        <w:spacing w:after="0"/>
        <w:tabs>
          <w:tab w:leader="none" w:pos="3700" w:val="left"/>
        </w:tabs>
        <w:rPr>
          <w:sz w:val="20"/>
          <w:szCs w:val="20"/>
          <w:color w:val="auto"/>
        </w:rPr>
      </w:pPr>
      <w:r>
        <w:rPr>
          <w:rFonts w:ascii="Times New Roman" w:cs="Times New Roman" w:eastAsia="Times New Roman" w:hAnsi="Times New Roman"/>
          <w:sz w:val="18"/>
          <w:szCs w:val="18"/>
          <w:b w:val="1"/>
          <w:bCs w:val="1"/>
          <w:color w:val="auto"/>
        </w:rPr>
        <w:t>For the quarterly period ended</w:t>
      </w:r>
      <w:r>
        <w:rPr>
          <w:sz w:val="20"/>
          <w:szCs w:val="20"/>
          <w:color w:val="auto"/>
        </w:rPr>
        <w:tab/>
      </w:r>
      <w:r>
        <w:rPr>
          <w:rFonts w:ascii="Times New Roman" w:cs="Times New Roman" w:eastAsia="Times New Roman" w:hAnsi="Times New Roman"/>
          <w:sz w:val="17"/>
          <w:szCs w:val="17"/>
          <w:b w:val="1"/>
          <w:bCs w:val="1"/>
          <w:color w:val="auto"/>
        </w:rPr>
        <w:t>March 31, 2025</w:t>
      </w:r>
    </w:p>
    <w:p>
      <w:pPr>
        <w:spacing w:after="0" w:line="2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hanging="641"/>
        <w:spacing w:after="0" w:line="238" w:lineRule="auto"/>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680"/>
        <w:spacing w:after="0"/>
        <w:tabs>
          <w:tab w:leader="none" w:pos="3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No. 001-32260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165735</wp:posOffset>
            </wp:positionV>
            <wp:extent cx="32061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9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Westlake Corporation</w:t>
      </w:r>
    </w:p>
    <w:p>
      <w:pPr>
        <w:spacing w:after="0" w:line="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107315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spacing w:after="0"/>
              <w:rPr>
                <w:sz w:val="19"/>
                <w:szCs w:val="19"/>
                <w:color w:val="auto"/>
              </w:rPr>
            </w:pPr>
          </w:p>
        </w:tc>
        <w:tc>
          <w:tcPr>
            <w:tcW w:w="3640" w:type="dxa"/>
            <w:vAlign w:val="bottom"/>
            <w:gridSpan w:val="2"/>
          </w:tcPr>
          <w:p>
            <w:pPr>
              <w:jc w:val="center"/>
              <w:ind w:left="155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900" w:type="dxa"/>
            <w:vAlign w:val="bottom"/>
          </w:tcPr>
          <w:p>
            <w:pPr>
              <w:jc w:val="center"/>
              <w:ind w:right="1196"/>
              <w:spacing w:after="0"/>
              <w:rPr>
                <w:sz w:val="20"/>
                <w:szCs w:val="20"/>
                <w:color w:val="auto"/>
              </w:rPr>
            </w:pPr>
            <w:r>
              <w:rPr>
                <w:rFonts w:ascii="Times New Roman" w:cs="Times New Roman" w:eastAsia="Times New Roman" w:hAnsi="Times New Roman"/>
                <w:sz w:val="18"/>
                <w:szCs w:val="18"/>
                <w:b w:val="1"/>
                <w:bCs w:val="1"/>
                <w:color w:val="auto"/>
                <w:w w:val="98"/>
              </w:rPr>
              <w:t>76-0346924</w:t>
            </w:r>
          </w:p>
        </w:tc>
      </w:tr>
      <w:tr>
        <w:trPr>
          <w:trHeight w:val="149"/>
        </w:trPr>
        <w:tc>
          <w:tcPr>
            <w:tcW w:w="140" w:type="dxa"/>
            <w:vAlign w:val="bottom"/>
          </w:tcPr>
          <w:p>
            <w:pPr>
              <w:spacing w:after="0"/>
              <w:rPr>
                <w:sz w:val="12"/>
                <w:szCs w:val="12"/>
                <w:color w:val="auto"/>
              </w:rPr>
            </w:pPr>
          </w:p>
        </w:tc>
        <w:tc>
          <w:tcPr>
            <w:tcW w:w="3640" w:type="dxa"/>
            <w:vAlign w:val="bottom"/>
            <w:gridSpan w:val="2"/>
          </w:tcPr>
          <w:p>
            <w:pPr>
              <w:jc w:val="center"/>
              <w:ind w:left="155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900" w:type="dxa"/>
            <w:vAlign w:val="bottom"/>
          </w:tcPr>
          <w:p>
            <w:pPr>
              <w:jc w:val="center"/>
              <w:ind w:right="1216"/>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40" w:type="dxa"/>
            <w:vAlign w:val="bottom"/>
          </w:tcPr>
          <w:p>
            <w:pPr>
              <w:spacing w:after="0"/>
              <w:rPr>
                <w:sz w:val="16"/>
                <w:szCs w:val="16"/>
                <w:color w:val="auto"/>
              </w:rPr>
            </w:pPr>
          </w:p>
        </w:tc>
        <w:tc>
          <w:tcPr>
            <w:tcW w:w="3640" w:type="dxa"/>
            <w:vAlign w:val="bottom"/>
            <w:gridSpan w:val="2"/>
          </w:tcPr>
          <w:p>
            <w:pPr>
              <w:jc w:val="center"/>
              <w:ind w:left="155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900" w:type="dxa"/>
            <w:vAlign w:val="bottom"/>
          </w:tcPr>
          <w:p>
            <w:pPr>
              <w:jc w:val="center"/>
              <w:ind w:right="1196"/>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60"/>
        </w:trPr>
        <w:tc>
          <w:tcPr>
            <w:tcW w:w="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8"/>
                <w:szCs w:val="18"/>
                <w:b w:val="1"/>
                <w:bCs w:val="1"/>
                <w:color w:val="auto"/>
              </w:rPr>
              <w:t>2801 Post Oak Boulevard, Suite 600</w:t>
            </w:r>
          </w:p>
        </w:tc>
        <w:tc>
          <w:tcPr>
            <w:tcW w:w="3900" w:type="dxa"/>
            <w:vAlign w:val="bottom"/>
          </w:tcPr>
          <w:p>
            <w:pPr>
              <w:spacing w:after="0"/>
              <w:rPr>
                <w:sz w:val="24"/>
                <w:szCs w:val="24"/>
                <w:color w:val="auto"/>
              </w:rPr>
            </w:pPr>
          </w:p>
        </w:tc>
      </w:tr>
      <w:tr>
        <w:trPr>
          <w:trHeight w:val="214"/>
        </w:trPr>
        <w:tc>
          <w:tcPr>
            <w:tcW w:w="1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gridSpan w:val="2"/>
          </w:tcPr>
          <w:p>
            <w:pPr>
              <w:jc w:val="center"/>
              <w:ind w:left="155"/>
              <w:spacing w:after="0"/>
              <w:rPr>
                <w:sz w:val="20"/>
                <w:szCs w:val="20"/>
                <w:color w:val="auto"/>
              </w:rPr>
            </w:pPr>
            <w:r>
              <w:rPr>
                <w:rFonts w:ascii="Times New Roman" w:cs="Times New Roman" w:eastAsia="Times New Roman" w:hAnsi="Times New Roman"/>
                <w:sz w:val="18"/>
                <w:szCs w:val="18"/>
                <w:b w:val="1"/>
                <w:bCs w:val="1"/>
                <w:color w:val="auto"/>
                <w:w w:val="98"/>
              </w:rPr>
              <w:t>Houston, Texas 77056</w:t>
            </w:r>
          </w:p>
        </w:tc>
        <w:tc>
          <w:tcPr>
            <w:tcW w:w="3900" w:type="dxa"/>
            <w:vAlign w:val="bottom"/>
          </w:tcPr>
          <w:p>
            <w:pPr>
              <w:spacing w:after="0"/>
              <w:rPr>
                <w:sz w:val="18"/>
                <w:szCs w:val="18"/>
                <w:color w:val="auto"/>
              </w:rPr>
            </w:pPr>
          </w:p>
        </w:tc>
      </w:tr>
      <w:tr>
        <w:trPr>
          <w:trHeight w:val="190"/>
        </w:trPr>
        <w:tc>
          <w:tcPr>
            <w:tcW w:w="1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360" w:type="dxa"/>
            <w:vAlign w:val="bottom"/>
            <w:gridSpan w:val="3"/>
          </w:tcPr>
          <w:p>
            <w:pPr>
              <w:jc w:val="center"/>
              <w:ind w:right="359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363"/>
        </w:trPr>
        <w:tc>
          <w:tcPr>
            <w:tcW w:w="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40" w:type="dxa"/>
            <w:vAlign w:val="bottom"/>
          </w:tcPr>
          <w:p>
            <w:pPr>
              <w:jc w:val="center"/>
              <w:ind w:left="675"/>
              <w:spacing w:after="0"/>
              <w:rPr>
                <w:sz w:val="20"/>
                <w:szCs w:val="20"/>
                <w:color w:val="auto"/>
              </w:rPr>
            </w:pPr>
            <w:r>
              <w:rPr>
                <w:rFonts w:ascii="Times New Roman" w:cs="Times New Roman" w:eastAsia="Times New Roman" w:hAnsi="Times New Roman"/>
                <w:sz w:val="18"/>
                <w:szCs w:val="18"/>
                <w:b w:val="1"/>
                <w:bCs w:val="1"/>
                <w:color w:val="auto"/>
                <w:w w:val="97"/>
              </w:rPr>
              <w:t>(713) 960-9111</w:t>
            </w:r>
          </w:p>
        </w:tc>
        <w:tc>
          <w:tcPr>
            <w:tcW w:w="52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190"/>
        </w:trPr>
        <w:tc>
          <w:tcPr>
            <w:tcW w:w="1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900" w:type="dxa"/>
            <w:vAlign w:val="bottom"/>
          </w:tcPr>
          <w:p>
            <w:pPr>
              <w:spacing w:after="0"/>
              <w:rPr>
                <w:sz w:val="16"/>
                <w:szCs w:val="16"/>
                <w:color w:val="auto"/>
              </w:rPr>
            </w:pPr>
          </w:p>
        </w:tc>
      </w:tr>
      <w:tr>
        <w:trPr>
          <w:trHeight w:val="469"/>
        </w:trPr>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900" w:type="dxa"/>
            <w:vAlign w:val="bottom"/>
          </w:tcPr>
          <w:p>
            <w:pPr>
              <w:spacing w:after="0"/>
              <w:rPr>
                <w:sz w:val="24"/>
                <w:szCs w:val="24"/>
                <w:color w:val="auto"/>
              </w:rPr>
            </w:pPr>
          </w:p>
        </w:tc>
      </w:tr>
      <w:tr>
        <w:trPr>
          <w:trHeight w:val="108"/>
        </w:trPr>
        <w:tc>
          <w:tcPr>
            <w:tcW w:w="140" w:type="dxa"/>
            <w:vAlign w:val="bottom"/>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400" w:type="dxa"/>
            <w:vAlign w:val="bottom"/>
            <w:tcBorders>
              <w:bottom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jc w:val="center"/>
              <w:ind w:right="335"/>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20" w:type="dxa"/>
            <w:vAlign w:val="bottom"/>
            <w:tcBorders>
              <w:bottom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jc w:val="center"/>
              <w:ind w:right="476"/>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140" w:type="dxa"/>
            <w:vAlign w:val="bottom"/>
            <w:tcBorders>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400" w:type="dxa"/>
            <w:vAlign w:val="bottom"/>
            <w:tcBorders>
              <w:bottom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jc w:val="center"/>
              <w:ind w:right="335"/>
              <w:spacing w:after="0"/>
              <w:rPr>
                <w:sz w:val="20"/>
                <w:szCs w:val="20"/>
                <w:color w:val="auto"/>
              </w:rPr>
            </w:pPr>
            <w:r>
              <w:rPr>
                <w:rFonts w:ascii="Times New Roman" w:cs="Times New Roman" w:eastAsia="Times New Roman" w:hAnsi="Times New Roman"/>
                <w:sz w:val="18"/>
                <w:szCs w:val="18"/>
                <w:color w:val="auto"/>
                <w:w w:val="97"/>
              </w:rPr>
              <w:t>WLK</w:t>
            </w:r>
          </w:p>
        </w:tc>
        <w:tc>
          <w:tcPr>
            <w:tcW w:w="520" w:type="dxa"/>
            <w:vAlign w:val="bottom"/>
            <w:tcBorders>
              <w:bottom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jc w:val="center"/>
              <w:ind w:right="456"/>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23"/>
        </w:trPr>
        <w:tc>
          <w:tcPr>
            <w:tcW w:w="140" w:type="dxa"/>
            <w:vAlign w:val="bottom"/>
            <w:tcBorders>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1.625% Senior Notes due 2029</w:t>
            </w:r>
          </w:p>
        </w:tc>
        <w:tc>
          <w:tcPr>
            <w:tcW w:w="400" w:type="dxa"/>
            <w:vAlign w:val="bottom"/>
            <w:tcBorders>
              <w:bottom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jc w:val="center"/>
              <w:ind w:right="335"/>
              <w:spacing w:after="0"/>
              <w:rPr>
                <w:sz w:val="20"/>
                <w:szCs w:val="20"/>
                <w:color w:val="auto"/>
              </w:rPr>
            </w:pPr>
            <w:r>
              <w:rPr>
                <w:rFonts w:ascii="Times New Roman" w:cs="Times New Roman" w:eastAsia="Times New Roman" w:hAnsi="Times New Roman"/>
                <w:sz w:val="18"/>
                <w:szCs w:val="18"/>
                <w:color w:val="auto"/>
              </w:rPr>
              <w:t>WLK29</w:t>
            </w:r>
          </w:p>
        </w:tc>
        <w:tc>
          <w:tcPr>
            <w:tcW w:w="520" w:type="dxa"/>
            <w:vAlign w:val="bottom"/>
            <w:tcBorders>
              <w:bottom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jc w:val="center"/>
              <w:ind w:right="456"/>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200" w:lineRule="exact"/>
        <w:rPr>
          <w:sz w:val="24"/>
          <w:szCs w:val="24"/>
          <w:color w:val="auto"/>
        </w:rPr>
      </w:pPr>
    </w:p>
    <w:p>
      <w:pPr>
        <w:spacing w:after="0" w:line="214" w:lineRule="exact"/>
        <w:rPr>
          <w:sz w:val="24"/>
          <w:szCs w:val="24"/>
          <w:color w:val="auto"/>
        </w:rPr>
      </w:pPr>
    </w:p>
    <w:p>
      <w:pPr>
        <w:ind w:right="2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17"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16"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Large accelerated filer</w:t>
            </w:r>
          </w:p>
        </w:tc>
        <w:tc>
          <w:tcPr>
            <w:tcW w:w="3040" w:type="dxa"/>
            <w:vAlign w:val="bottom"/>
          </w:tcPr>
          <w:p>
            <w:pPr>
              <w:ind w:left="640"/>
              <w:spacing w:after="0"/>
              <w:rPr>
                <w:sz w:val="20"/>
                <w:szCs w:val="20"/>
                <w:color w:val="auto"/>
              </w:rPr>
            </w:pPr>
            <w:r>
              <w:rPr>
                <w:rFonts w:ascii="Wingdings" w:cs="Wingdings" w:eastAsia="Wingdings" w:hAnsi="Wingdings"/>
                <w:sz w:val="18"/>
                <w:szCs w:val="18"/>
                <w:b w:val="1"/>
                <w:bCs w:val="1"/>
                <w:color w:val="auto"/>
              </w:rPr>
              <w:t>x</w:t>
            </w:r>
          </w:p>
        </w:tc>
        <w:tc>
          <w:tcPr>
            <w:tcW w:w="484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Non-accelerated filer</w:t>
            </w:r>
          </w:p>
        </w:tc>
        <w:tc>
          <w:tcPr>
            <w:tcW w:w="30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84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0"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ind w:right="152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The number of shares outstanding of the registrant's sole class of common stock as of April 25, 2025 was 128,238,016.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7" w:right="379" w:bottom="731"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20" w:type="dxa"/>
            <w:vAlign w:val="bottom"/>
          </w:tcPr>
          <w:p>
            <w:pPr>
              <w:spacing w:after="0"/>
              <w:rPr>
                <w:sz w:val="16"/>
                <w:szCs w:val="16"/>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320" w:type="dxa"/>
            <w:vAlign w:val="bottom"/>
            <w:vMerge w:val="restart"/>
          </w:tcPr>
          <w:p>
            <w:pPr>
              <w:spacing w:after="0"/>
              <w:rPr>
                <w:sz w:val="2"/>
                <w:szCs w:val="2"/>
                <w:color w:val="auto"/>
              </w:rPr>
            </w:pPr>
          </w:p>
        </w:tc>
        <w:tc>
          <w:tcPr>
            <w:tcW w:w="9820" w:type="dxa"/>
            <w:vAlign w:val="bottom"/>
            <w:vMerge w:val="restart"/>
          </w:tcPr>
          <w:p>
            <w:pPr>
              <w:ind w:left="33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982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9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4"/>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2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1A)</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4"/>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208"/>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367"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6"/>
        </w:trPr>
        <w:tc>
          <w:tcPr>
            <w:tcW w:w="8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(in millions of dollars, except</w:t>
            </w:r>
          </w:p>
        </w:tc>
      </w:tr>
      <w:tr>
        <w:trPr>
          <w:trHeight w:val="195"/>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par values and share amounts)</w:t>
            </w:r>
          </w:p>
        </w:tc>
      </w:tr>
      <w:tr>
        <w:trPr>
          <w:trHeight w:val="235"/>
        </w:trPr>
        <w:tc>
          <w:tcPr>
            <w:tcW w:w="826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20,750</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6"/>
        </w:trPr>
        <w:tc>
          <w:tcPr>
            <w:tcW w:w="8260" w:type="dxa"/>
            <w:vAlign w:val="bottom"/>
            <w:shd w:val="clear" w:color="auto" w:fill="CCEEFF"/>
          </w:tcPr>
          <w:p>
            <w:pPr>
              <w:ind w:left="29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w:t>
            </w: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w:t>
            </w: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$0.01 par value, 50,000,000 shares authorized; no shares issued and outstanding</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2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$0.01 par value, 300,000,000 shares authorized; 134,651,380 and 134,651,380 shares</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issued at March 31, 2025 and December 31, 2024, respectively</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75"/>
        </w:trPr>
        <w:tc>
          <w:tcPr>
            <w:tcW w:w="82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held in treasury, at cost; 6,414,011 and 6,424,366 shares at March 31, 2025 and</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10,481</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Westlake Corporation stockholders' equity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10,527</w:t>
            </w:r>
          </w:p>
        </w:tc>
      </w:tr>
      <w:tr>
        <w:trPr>
          <w:trHeight w:val="22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11,043</w:t>
            </w:r>
          </w:p>
        </w:tc>
      </w:tr>
      <w:tr>
        <w:trPr>
          <w:trHeight w:val="248"/>
        </w:trPr>
        <w:tc>
          <w:tcPr>
            <w:tcW w:w="82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4"/>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5"/>
        </w:trPr>
        <w:tc>
          <w:tcPr>
            <w:tcW w:w="8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gridSpan w:val="4"/>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data</w:t>
            </w: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gridSpan w:val="4"/>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and share amounts)</w:t>
            </w:r>
          </w:p>
        </w:tc>
        <w:tc>
          <w:tcPr>
            <w:tcW w:w="0" w:type="dxa"/>
            <w:vAlign w:val="bottom"/>
          </w:tcPr>
          <w:p>
            <w:pPr>
              <w:spacing w:after="0"/>
              <w:rPr>
                <w:sz w:val="1"/>
                <w:szCs w:val="1"/>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transaction and integration-related costs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Westlake Corporation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(loss) per common share attributable to Westlake Corporation: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128,308,537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128,359,983</w:t>
            </w:r>
          </w:p>
        </w:tc>
        <w:tc>
          <w:tcPr>
            <w:tcW w:w="0" w:type="dxa"/>
            <w:vAlign w:val="bottom"/>
          </w:tcPr>
          <w:p>
            <w:pPr>
              <w:spacing w:after="0"/>
              <w:rPr>
                <w:sz w:val="1"/>
                <w:szCs w:val="1"/>
                <w:color w:val="auto"/>
              </w:rPr>
            </w:pPr>
          </w:p>
        </w:tc>
      </w:tr>
      <w:tr>
        <w:trPr>
          <w:trHeight w:val="254"/>
        </w:trPr>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128,308,537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129,020,370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Pr>
          <w:p>
            <w:pPr>
              <w:spacing w:after="0"/>
              <w:rPr>
                <w:sz w:val="16"/>
                <w:szCs w:val="16"/>
                <w:color w:val="auto"/>
              </w:rPr>
            </w:pPr>
          </w:p>
        </w:tc>
      </w:tr>
      <w:tr>
        <w:trPr>
          <w:trHeight w:val="23"/>
        </w:trPr>
        <w:tc>
          <w:tcPr>
            <w:tcW w:w="8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0"/>
        </w:trPr>
        <w:tc>
          <w:tcPr>
            <w:tcW w:w="8220" w:type="dxa"/>
            <w:vAlign w:val="bottom"/>
          </w:tcPr>
          <w:p>
            <w:pPr>
              <w:spacing w:after="0"/>
              <w:rPr>
                <w:sz w:val="16"/>
                <w:szCs w:val="16"/>
                <w:color w:val="auto"/>
              </w:rPr>
            </w:pPr>
          </w:p>
        </w:tc>
        <w:tc>
          <w:tcPr>
            <w:tcW w:w="9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r>
      <w:tr>
        <w:trPr>
          <w:trHeight w:val="219"/>
        </w:trPr>
        <w:tc>
          <w:tcPr>
            <w:tcW w:w="8220" w:type="dxa"/>
            <w:vAlign w:val="bottom"/>
          </w:tcPr>
          <w:p>
            <w:pPr>
              <w:spacing w:after="0"/>
              <w:rPr>
                <w:sz w:val="19"/>
                <w:szCs w:val="19"/>
                <w:color w:val="auto"/>
              </w:rPr>
            </w:pPr>
          </w:p>
        </w:tc>
        <w:tc>
          <w:tcPr>
            <w:tcW w:w="2540" w:type="dxa"/>
            <w:vAlign w:val="bottom"/>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420" w:type="dxa"/>
            <w:vAlign w:val="bottom"/>
          </w:tcPr>
          <w:p>
            <w:pPr>
              <w:spacing w:after="0"/>
              <w:rPr>
                <w:sz w:val="19"/>
                <w:szCs w:val="19"/>
                <w:color w:val="auto"/>
              </w:rPr>
            </w:pPr>
          </w:p>
        </w:tc>
      </w:tr>
      <w:tr>
        <w:trPr>
          <w:trHeight w:val="23"/>
        </w:trPr>
        <w:tc>
          <w:tcPr>
            <w:tcW w:w="8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2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9"/>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Pension and other post-retirement benefits liability</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30"/>
        </w:trPr>
        <w:tc>
          <w:tcPr>
            <w:tcW w:w="8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Pension and other post-retirement benefits reserves adjustment</w:t>
            </w:r>
          </w:p>
        </w:tc>
        <w:tc>
          <w:tcPr>
            <w:tcW w:w="98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29"/>
        </w:trPr>
        <w:tc>
          <w:tcPr>
            <w:tcW w:w="8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8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tax (provision) benefit on foreign currency translation</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155"/>
        </w:trPr>
        <w:tc>
          <w:tcPr>
            <w:tcW w:w="822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Comprehensive income attributable to noncontrolling interests, net of tax provision of $1 and $1 for the</w:t>
            </w: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243"/>
        </w:trPr>
        <w:tc>
          <w:tcPr>
            <w:tcW w:w="82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three months ended March 31, 2025 and 2024, respectively</w:t>
            </w:r>
          </w:p>
        </w:tc>
        <w:tc>
          <w:tcPr>
            <w:tcW w:w="9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Westlake Corporation</w:t>
            </w: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right="260" w:hanging="161"/>
        <w:spacing w:after="0" w:line="239" w:lineRule="auto"/>
        <w:rPr>
          <w:sz w:val="20"/>
          <w:szCs w:val="20"/>
          <w:color w:val="auto"/>
        </w:rPr>
      </w:pPr>
      <w:r>
        <w:rPr>
          <w:rFonts w:ascii="Times New Roman" w:cs="Times New Roman" w:eastAsia="Times New Roman" w:hAnsi="Times New Roman"/>
          <w:sz w:val="18"/>
          <w:szCs w:val="18"/>
          <w:b w:val="1"/>
          <w:bCs w:val="1"/>
          <w:color w:val="auto"/>
        </w:rPr>
        <w:t>Balances at December 31, 2024</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 (loss)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23" w:lineRule="exact"/>
        <w:rPr>
          <w:sz w:val="20"/>
          <w:szCs w:val="20"/>
          <w:color w:val="auto"/>
        </w:rPr>
      </w:pPr>
    </w:p>
    <w:p>
      <w:pPr>
        <w:ind w:left="180" w:right="780" w:hanging="161"/>
        <w:spacing w:after="0" w:line="234" w:lineRule="auto"/>
        <w:rPr>
          <w:sz w:val="20"/>
          <w:szCs w:val="20"/>
          <w:color w:val="auto"/>
        </w:rPr>
      </w:pPr>
      <w:r>
        <w:rPr>
          <w:rFonts w:ascii="Times New Roman" w:cs="Times New Roman" w:eastAsia="Times New Roman" w:hAnsi="Times New Roman"/>
          <w:sz w:val="18"/>
          <w:szCs w:val="18"/>
          <w:color w:val="auto"/>
        </w:rPr>
        <w:t>Common stock repurchased</w:t>
      </w:r>
    </w:p>
    <w:p>
      <w:pPr>
        <w:spacing w:after="0" w:line="10" w:lineRule="exact"/>
        <w:rPr>
          <w:sz w:val="20"/>
          <w:szCs w:val="20"/>
          <w:color w:val="auto"/>
        </w:rPr>
      </w:pPr>
    </w:p>
    <w:p>
      <w:pPr>
        <w:jc w:val="right"/>
        <w:ind w:left="20" w:right="260"/>
        <w:spacing w:after="0" w:line="237" w:lineRule="auto"/>
        <w:rPr>
          <w:sz w:val="20"/>
          <w:szCs w:val="20"/>
          <w:color w:val="auto"/>
        </w:rPr>
      </w:pPr>
      <w:r>
        <w:rPr>
          <w:rFonts w:ascii="Times New Roman" w:cs="Times New Roman" w:eastAsia="Times New Roman" w:hAnsi="Times New Roman"/>
          <w:sz w:val="18"/>
          <w:szCs w:val="18"/>
          <w:color w:val="auto"/>
        </w:rPr>
        <w:t>Shares issued—stock-based compensation</w:t>
      </w:r>
    </w:p>
    <w:p>
      <w:pPr>
        <w:spacing w:after="0" w:line="10" w:lineRule="exact"/>
        <w:rPr>
          <w:sz w:val="20"/>
          <w:szCs w:val="20"/>
          <w:color w:val="auto"/>
        </w:rPr>
      </w:pPr>
    </w:p>
    <w:p>
      <w:pPr>
        <w:ind w:left="180" w:right="720" w:hanging="161"/>
        <w:spacing w:after="0" w:line="237" w:lineRule="auto"/>
        <w:rPr>
          <w:sz w:val="20"/>
          <w:szCs w:val="20"/>
          <w:color w:val="auto"/>
        </w:rPr>
      </w:pPr>
      <w:r>
        <w:rPr>
          <w:rFonts w:ascii="Times New Roman" w:cs="Times New Roman" w:eastAsia="Times New Roman" w:hAnsi="Times New Roman"/>
          <w:sz w:val="18"/>
          <w:szCs w:val="18"/>
          <w:color w:val="auto"/>
        </w:rPr>
        <w:t>Stock-based compensation</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Dividends declared</w:t>
      </w:r>
    </w:p>
    <w:p>
      <w:pPr>
        <w:spacing w:after="0" w:line="2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Distributions to noncontrolling interests</w:t>
      </w:r>
    </w:p>
    <w:p>
      <w:pPr>
        <w:spacing w:after="0" w:line="6" w:lineRule="exact"/>
        <w:rPr>
          <w:sz w:val="20"/>
          <w:szCs w:val="20"/>
          <w:color w:val="auto"/>
        </w:rPr>
      </w:pPr>
    </w:p>
    <w:p>
      <w:pPr>
        <w:ind w:left="180" w:right="160" w:hanging="161"/>
        <w:spacing w:after="0" w:line="239" w:lineRule="auto"/>
        <w:rPr>
          <w:sz w:val="20"/>
          <w:szCs w:val="20"/>
          <w:color w:val="auto"/>
        </w:rPr>
      </w:pPr>
      <w:r>
        <w:rPr>
          <w:rFonts w:ascii="Times New Roman" w:cs="Times New Roman" w:eastAsia="Times New Roman" w:hAnsi="Times New Roman"/>
          <w:sz w:val="18"/>
          <w:szCs w:val="18"/>
          <w:b w:val="1"/>
          <w:bCs w:val="1"/>
          <w:color w:val="auto"/>
        </w:rPr>
        <w:t>Balances at March 31, 2025</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31"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 Held in</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60" w:type="dxa"/>
            <w:vAlign w:val="bottom"/>
            <w:gridSpan w:val="5"/>
            <w:vMerge w:val="continue"/>
          </w:tcPr>
          <w:p>
            <w:pPr>
              <w:spacing w:after="0"/>
              <w:rPr>
                <w:sz w:val="16"/>
                <w:szCs w:val="16"/>
                <w:color w:val="auto"/>
              </w:rPr>
            </w:pPr>
          </w:p>
        </w:tc>
        <w:tc>
          <w:tcPr>
            <w:tcW w:w="202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8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140" w:type="dxa"/>
            <w:vAlign w:val="bottom"/>
            <w:gridSpan w:val="6"/>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Noncontrolling</w:t>
            </w:r>
          </w:p>
        </w:tc>
        <w:tc>
          <w:tcPr>
            <w:tcW w:w="200" w:type="dxa"/>
            <w:vAlign w:val="bottom"/>
          </w:tcPr>
          <w:p>
            <w:pPr>
              <w:spacing w:after="0"/>
              <w:rPr>
                <w:sz w:val="12"/>
                <w:szCs w:val="12"/>
                <w:color w:val="auto"/>
              </w:rPr>
            </w:pPr>
          </w:p>
        </w:tc>
        <w:tc>
          <w:tcPr>
            <w:tcW w:w="74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9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9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millions of dollars, except share amounts)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6,424,366</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10,481</w:t>
            </w:r>
          </w:p>
        </w:tc>
        <w:tc>
          <w:tcPr>
            <w:tcW w:w="8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11,043</w:t>
            </w:r>
          </w:p>
        </w:tc>
        <w:tc>
          <w:tcPr>
            <w:tcW w:w="0" w:type="dxa"/>
            <w:vAlign w:val="bottom"/>
          </w:tcPr>
          <w:p>
            <w:pPr>
              <w:spacing w:after="0"/>
              <w:rPr>
                <w:sz w:val="1"/>
                <w:szCs w:val="1"/>
                <w:color w:val="auto"/>
              </w:rPr>
            </w:pPr>
          </w:p>
        </w:tc>
      </w:tr>
      <w:tr>
        <w:trPr>
          <w:trHeight w:val="229"/>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4"/>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418"/>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279,771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18"/>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(290,126)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4"/>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4"/>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418"/>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72"/>
        </w:trPr>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6,414,011</w:t>
            </w:r>
          </w:p>
        </w:tc>
        <w:tc>
          <w:tcPr>
            <w:tcW w:w="8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10,373</w:t>
            </w:r>
          </w:p>
        </w:tc>
        <w:tc>
          <w:tcPr>
            <w:tcW w:w="80" w:type="dxa"/>
            <w:vAlign w:val="bottom"/>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10,921</w:t>
            </w:r>
          </w:p>
        </w:tc>
        <w:tc>
          <w:tcPr>
            <w:tcW w:w="0" w:type="dxa"/>
            <w:vAlign w:val="bottom"/>
          </w:tcPr>
          <w:p>
            <w:pPr>
              <w:spacing w:after="0"/>
              <w:rPr>
                <w:sz w:val="1"/>
                <w:szCs w:val="1"/>
                <w:color w:val="auto"/>
              </w:rPr>
            </w:pPr>
          </w:p>
        </w:tc>
      </w:tr>
      <w:tr>
        <w:trPr>
          <w:trHeight w:val="21"/>
        </w:trPr>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-2048510</wp:posOffset>
            </wp:positionV>
            <wp:extent cx="7132320" cy="266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-1636395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-1224915</wp:posOffset>
            </wp:positionV>
            <wp:extent cx="713232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-693420</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-282575</wp:posOffset>
            </wp:positionV>
            <wp:extent cx="7132320" cy="266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900" w:space="140"/>
            <w:col w:w="920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80" w:right="260" w:hanging="161"/>
        <w:spacing w:after="0" w:line="239" w:lineRule="auto"/>
        <w:rPr>
          <w:sz w:val="20"/>
          <w:szCs w:val="20"/>
          <w:color w:val="auto"/>
        </w:rPr>
      </w:pPr>
      <w:r>
        <w:rPr>
          <w:rFonts w:ascii="Times New Roman" w:cs="Times New Roman" w:eastAsia="Times New Roman" w:hAnsi="Times New Roman"/>
          <w:sz w:val="18"/>
          <w:szCs w:val="18"/>
          <w:b w:val="1"/>
          <w:bCs w:val="1"/>
          <w:color w:val="auto"/>
        </w:rPr>
        <w:t>Balances at December 31, 2023</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23" w:lineRule="exact"/>
        <w:rPr>
          <w:sz w:val="20"/>
          <w:szCs w:val="20"/>
          <w:color w:val="auto"/>
        </w:rPr>
      </w:pPr>
    </w:p>
    <w:p>
      <w:pPr>
        <w:jc w:val="right"/>
        <w:ind w:left="20" w:right="260"/>
        <w:spacing w:after="0" w:line="234" w:lineRule="auto"/>
        <w:rPr>
          <w:sz w:val="20"/>
          <w:szCs w:val="20"/>
          <w:color w:val="auto"/>
        </w:rPr>
      </w:pPr>
      <w:r>
        <w:rPr>
          <w:rFonts w:ascii="Times New Roman" w:cs="Times New Roman" w:eastAsia="Times New Roman" w:hAnsi="Times New Roman"/>
          <w:sz w:val="18"/>
          <w:szCs w:val="18"/>
          <w:color w:val="auto"/>
        </w:rPr>
        <w:t>Shares issued—stock-based compensation</w:t>
      </w:r>
    </w:p>
    <w:p>
      <w:pPr>
        <w:spacing w:after="0" w:line="10" w:lineRule="exact"/>
        <w:rPr>
          <w:sz w:val="20"/>
          <w:szCs w:val="20"/>
          <w:color w:val="auto"/>
        </w:rPr>
      </w:pPr>
    </w:p>
    <w:p>
      <w:pPr>
        <w:ind w:left="180" w:right="720" w:hanging="161"/>
        <w:spacing w:after="0" w:line="237" w:lineRule="auto"/>
        <w:rPr>
          <w:sz w:val="20"/>
          <w:szCs w:val="20"/>
          <w:color w:val="auto"/>
        </w:rPr>
      </w:pPr>
      <w:r>
        <w:rPr>
          <w:rFonts w:ascii="Times New Roman" w:cs="Times New Roman" w:eastAsia="Times New Roman" w:hAnsi="Times New Roman"/>
          <w:sz w:val="18"/>
          <w:szCs w:val="18"/>
          <w:color w:val="auto"/>
        </w:rPr>
        <w:t>Stock-based compensation</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Dividends declared</w:t>
      </w:r>
    </w:p>
    <w:p>
      <w:pPr>
        <w:spacing w:after="0" w:line="2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Distributions to noncontrolling interests</w:t>
      </w:r>
    </w:p>
    <w:p>
      <w:pPr>
        <w:spacing w:after="0" w:line="6" w:lineRule="exact"/>
        <w:rPr>
          <w:sz w:val="20"/>
          <w:szCs w:val="20"/>
          <w:color w:val="auto"/>
        </w:rPr>
      </w:pPr>
    </w:p>
    <w:p>
      <w:pPr>
        <w:ind w:left="180" w:right="160" w:hanging="161"/>
        <w:spacing w:after="0" w:line="239" w:lineRule="auto"/>
        <w:rPr>
          <w:sz w:val="20"/>
          <w:szCs w:val="20"/>
          <w:color w:val="auto"/>
        </w:rPr>
      </w:pPr>
      <w:r>
        <w:rPr>
          <w:rFonts w:ascii="Times New Roman" w:cs="Times New Roman" w:eastAsia="Times New Roman" w:hAnsi="Times New Roman"/>
          <w:sz w:val="18"/>
          <w:szCs w:val="18"/>
          <w:b w:val="1"/>
          <w:bCs w:val="1"/>
          <w:color w:val="auto"/>
        </w:rPr>
        <w:t>Balances at March 31, 2024</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31"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 Held in</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60" w:type="dxa"/>
            <w:vAlign w:val="bottom"/>
            <w:gridSpan w:val="5"/>
            <w:vMerge w:val="continue"/>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8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9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9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(in millions of dollars, except share amounts)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8"/>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6,439,289</w:t>
            </w:r>
          </w:p>
        </w:tc>
        <w:tc>
          <w:tcPr>
            <w:tcW w:w="8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10,143</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10,764</w:t>
            </w:r>
          </w:p>
        </w:tc>
        <w:tc>
          <w:tcPr>
            <w:tcW w:w="0" w:type="dxa"/>
            <w:vAlign w:val="bottom"/>
          </w:tcPr>
          <w:p>
            <w:pPr>
              <w:spacing w:after="0"/>
              <w:rPr>
                <w:sz w:val="1"/>
                <w:szCs w:val="1"/>
                <w:color w:val="auto"/>
              </w:rPr>
            </w:pPr>
          </w:p>
        </w:tc>
      </w:tr>
      <w:tr>
        <w:trPr>
          <w:trHeight w:val="229"/>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34"/>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19"/>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(357,118)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14"/>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4"/>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418"/>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72"/>
        </w:trPr>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6,082,171</w:t>
            </w:r>
          </w:p>
        </w:tc>
        <w:tc>
          <w:tcPr>
            <w:tcW w:w="8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10,252</w:t>
            </w:r>
          </w:p>
        </w:tc>
        <w:tc>
          <w:tcPr>
            <w:tcW w:w="8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10,853</w:t>
            </w: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-1782445</wp:posOffset>
            </wp:positionV>
            <wp:extent cx="713232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-1370965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-959485</wp:posOffset>
            </wp:positionV>
            <wp:extent cx="7132320" cy="266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-548005</wp:posOffset>
            </wp:positionV>
            <wp:extent cx="713232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900" w:space="140"/>
            <w:col w:w="920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r>
      <w:tr>
        <w:trPr>
          <w:trHeight w:val="219"/>
        </w:trPr>
        <w:tc>
          <w:tcPr>
            <w:tcW w:w="8260" w:type="dxa"/>
            <w:vAlign w:val="bottom"/>
          </w:tcPr>
          <w:p>
            <w:pPr>
              <w:spacing w:after="0"/>
              <w:rPr>
                <w:sz w:val="19"/>
                <w:szCs w:val="19"/>
                <w:color w:val="auto"/>
              </w:rPr>
            </w:pPr>
          </w:p>
        </w:tc>
        <w:tc>
          <w:tcPr>
            <w:tcW w:w="2500" w:type="dxa"/>
            <w:vAlign w:val="bottom"/>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480" w:type="dxa"/>
            <w:vAlign w:val="bottom"/>
          </w:tcPr>
          <w:p>
            <w:pPr>
              <w:spacing w:after="0"/>
              <w:rPr>
                <w:sz w:val="19"/>
                <w:szCs w:val="19"/>
                <w:color w:val="auto"/>
              </w:rPr>
            </w:pPr>
          </w:p>
        </w:tc>
      </w:tr>
      <w:tr>
        <w:trPr>
          <w:trHeight w:val="23"/>
        </w:trPr>
        <w:tc>
          <w:tcPr>
            <w:tcW w:w="8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tcPr>
          <w:p>
            <w:pPr>
              <w:jc w:val="right"/>
              <w:ind w:right="72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disposition and write-off of property, plant and equipment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gains, net</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 of business acquisitions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provided by (used for) operating activities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investments in unconsolidated subsidiaries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available-for-sale securities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stock for treasury</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3,319</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2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3,124</w:t>
            </w:r>
          </w:p>
        </w:tc>
      </w:tr>
      <w:tr>
        <w:trPr>
          <w:trHeight w:val="20"/>
        </w:trPr>
        <w:tc>
          <w:tcPr>
            <w:tcW w:w="8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Financial Statements</w:t>
      </w:r>
    </w:p>
    <w:p>
      <w:pPr>
        <w:spacing w:after="0" w:line="94" w:lineRule="exact"/>
        <w:rPr>
          <w:sz w:val="20"/>
          <w:szCs w:val="20"/>
          <w:color w:val="auto"/>
        </w:rPr>
      </w:pPr>
    </w:p>
    <w:p>
      <w:pPr>
        <w:ind w:right="100" w:firstLine="405"/>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Westlake Corporation (the "Company"), included in the annual report on Form 10-K for the fiscal year ended December 31, 2024 (the "2024 Form 10-K"), filed with the SEC on February 25, 2025. These consolidated financial statements have been prepared in conformity with the accounting principles and practices as disclosed in the notes to the consolidated financial statements of the Company for the fiscal year ended December 31, 2024. The Company operates as an integrated global manufacturer and marketer of performance and essential materials and housing and infrastructure products. These products include some of the most widely used materials in the world, which are fundamental to many diverse consumer and industrial markets, including residential construction, flexible and rigid packaging, automotive products, healthcare products, materials used in turbines to generate wind energy, water treatment, coatings as well as other durable and non-durable goods. The Company's customers range from large chemical processors and plastics fabricators to small construction contractors, municipalities and supply warehouses throughout North America, Europe and Asia.</w:t>
      </w:r>
    </w:p>
    <w:p>
      <w:pPr>
        <w:spacing w:after="0" w:line="13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In the opinion of the Company's management, the accompanying unaudited consolidated interim financial statements reflect all adjustments (consisting only of normal recurring adjustments) that are necessary for a fair statement of the Company's financial position as of March 31, 2025, its results of operations for the three months ended March 31, 2025 and 2024, and the changes in its cash position for the three months ended March 31, 2025 and 2024.</w:t>
      </w:r>
    </w:p>
    <w:p>
      <w:pPr>
        <w:spacing w:after="0" w:line="126"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Results of operations and changes in cash position for the interim periods presented are not necessarily indicative of the results that will be realized for the fiscal year ending December 31, 2025 or any other interim period. The preparation of consolidated financial statements in conformity with U.S. GAAP requires management to make estimates and assumptions that affect the reported amounts of assets, liabilities, revenues and expenses and the disclosure of contingent assets and liabilities. Actual results could differ from those estimates.</w:t>
      </w:r>
    </w:p>
    <w:p>
      <w:pPr>
        <w:spacing w:after="0" w:line="12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Prior period current portion of long-term debt balance has been reclassified to accrued and other liabilities to conform to the current year presentation on the consolidated balance sheet.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 (ASU 2024-03)</w:t>
      </w:r>
    </w:p>
    <w:p>
      <w:pPr>
        <w:spacing w:after="0" w:line="9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an accounting standards update to improve the disclosures about a public business entity's expenses and address requests from investors for more detailed information about the types of expenses in commonly presented expense captions (such as cost of sales; selling, general, and administrative expenses; and research and development). The amendments require that an entity disclose detailed amounts for inventory purchases, employee compensation, depreciation, amortization of intangible assets, and depletion expenses, categorizing them under appropriate income statement captions. Additionally, they should provide a qualitative description for amounts not disaggregated and disclose total selling expenses along with their definition in annual reports. The amendments in this ASU are effective for annual reporting periods beginning after December 15, 2026, and are to be applied on a prospective basis. Retrospective application is also permitted. The Company is in the process of evaluating the impact of this standard on the disclosures in the Company's financial statements.</w:t>
      </w: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(Topic 740): Improvements to Income Tax Disclosures (ASU No.2023-09)</w:t>
      </w:r>
    </w:p>
    <w:p>
      <w:pPr>
        <w:spacing w:after="0" w:line="9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No. 2023-09 to enhance the transparency and decision-usefulness of income tax disclosures and to provide information to better assess how an entity's operations and related tax risks and tax planning and operational opportunities affect its tax rate and prospects for future cash flows. For public business entities, the amendments in this update are effective for annual periods beginning after December 15, 2024, with early adoption permitted. The amendments should be applied prospectively; however, retrospective application is permitted. The Company is currently evaluating the impact of this standard on the disclosures in the Company's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 (Topic 280): Improvements to Reportable Segment Disclosures (ASU 2023-07)</w:t>
      </w:r>
    </w:p>
    <w:p>
      <w:pPr>
        <w:spacing w:after="0" w:line="92"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requiring public entities to disclose, on an annual and interim basis, significant segment expenses that are regularly provided to the chief operating decision maker ("CODM"), and on an annual basis, the title and position of the CODM and an explanation of how the CODM uses the reported measure(s) of segment profit or loss in assessing segment performance and deciding how to allocate resources. The amendments in this update are effective for public entities in fiscal years beginning after December 15, 2023, and interim periods within fiscal years beginning after December 15, 2024 and are to be applied retrospectively to all prior periods presented in the financial statements. The Company adopted this accounting standard effective for the annual 2024 financial statements and interim periods financial statements thereafter, and the adoption resulted in additional segment disclosures (see Note 14).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Combinations—Joint Venture Formations (Subtopic 805-60): Recognition and Initial Measurement (ASU 2023-05)</w:t>
      </w:r>
    </w:p>
    <w:p>
      <w:pPr>
        <w:spacing w:after="0" w:line="106"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In August 2023, the FASB issued accounting standards update No. 2023-05 to address the accounting for contributions made to a joint venture, upon formation, in a joint venture's financial statements, and to (1) provide decision-useful information to investors and other allocators of capital (collectively, investors) in a joint venture's financial statements and (2) reduce diversity in practice. Under the ASU, upon formation, a joint venture should recognize and initially measure its assets and liabilities at fair value (with exceptions to fair value measurement that are consistent with guidance for business combinations). The amendments in this update become effective for all joint venture formations with a formation date on or after January 1, 2025. Additionally, a joint venture that was formed before January 1, 2025 may elect to apply the amendments retrospectively if it has sufficient information. Early adoption is permitted in any interim or annual period in which financial statements have not yet been issued (or made available for issuance), either prospectively or retrospectively. The Company adopted this accounting standard effective January 1, 2025 and the adoption did not have a material impact on the Company's consolidated financial position, results of operations and cash flows.</w:t>
      </w:r>
    </w:p>
    <w:p>
      <w:pPr>
        <w:spacing w:after="0" w:line="211" w:lineRule="exact"/>
        <w:rPr>
          <w:sz w:val="20"/>
          <w:szCs w:val="20"/>
          <w:color w:val="auto"/>
        </w:rPr>
      </w:pPr>
    </w:p>
    <w:p>
      <w:pPr>
        <w:ind w:right="9320" w:firstLine="8"/>
        <w:spacing w:after="0" w:line="362"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Instruments </w:t>
      </w:r>
      <w:r>
        <w:rPr>
          <w:rFonts w:ascii="Times New Roman" w:cs="Times New Roman" w:eastAsia="Times New Roman" w:hAnsi="Times New Roman"/>
          <w:sz w:val="18"/>
          <w:szCs w:val="18"/>
          <w:b w:val="1"/>
          <w:bCs w:val="1"/>
          <w:i w:val="1"/>
          <w:iCs w:val="1"/>
          <w:color w:val="auto"/>
        </w:rPr>
        <w:t>Cash Equivalents</w:t>
      </w:r>
    </w:p>
    <w:p>
      <w:pPr>
        <w:spacing w:after="0" w:line="1"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Company had $207 and $1,009 of held-to-maturity securities with original maturities of three months or less, primarily consisting of corporate debt securities, classified as cash equivalents at March 31, 2025 and December 31, 2024, respectively. Due to the short-term nature of such securities, the Company's investments in held-to-maturity securities were held at amortized cost, which approximates fair value.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and Cash Equivalents</w:t>
      </w:r>
    </w:p>
    <w:p>
      <w:pPr>
        <w:spacing w:after="0" w:line="108"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Company had restricted cash and cash equivalents of $16 and $16 at March 31, 2025 and December 31, 2024, respectively. The Company's restricted cash and cash equivalents are primarily related to balances that are restricted for payment of distributions to certain of the Company's current and former employees and are reflected primarily in other assets, net in the consolidated balance sheets.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Securities</w:t>
      </w:r>
    </w:p>
    <w:p>
      <w:pPr>
        <w:spacing w:after="0" w:line="94"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Investments portfolio in securities are classified as available-for-sale. The Company views its available-for-sale securities as available for use in current operations. Accordingly, the Company classifies its investments as current assets, irrespective of the maturity date. Available-for-sale securities are carried at estimated fair value with unrealized gains and losses recorded in accumulated other comprehensive income (loss), which is a separate component of stockholders' equity. Realized gains and losses and amounts reclassified out of accumulated other comprehensive income (loss) are recorded in other income in the consolidated statement of operations. The Company periodically reviews its available-for-sale securities for other-than-temporary declines in fair value below the cost basis, and when events or changes in circumstances indicate the carrying value of an asset may not be recoverable, the investment is written down to fair value, establishing a new cost basis. The Company periodically reviews available-for-sale securities to assess for credit losses based on historical experience, current conditions, investment type and other relevant market data.</w:t>
      </w:r>
    </w:p>
    <w:p>
      <w:pPr>
        <w:spacing w:after="0" w:line="138" w:lineRule="exact"/>
        <w:rPr>
          <w:sz w:val="20"/>
          <w:szCs w:val="20"/>
          <w:color w:val="auto"/>
        </w:rPr>
      </w:pPr>
    </w:p>
    <w:p>
      <w:pPr>
        <w:ind w:right="180" w:firstLine="405"/>
        <w:spacing w:after="0" w:line="270" w:lineRule="auto"/>
        <w:rPr>
          <w:sz w:val="20"/>
          <w:szCs w:val="20"/>
          <w:color w:val="auto"/>
        </w:rPr>
      </w:pPr>
      <w:r>
        <w:rPr>
          <w:rFonts w:ascii="Times New Roman" w:cs="Times New Roman" w:eastAsia="Times New Roman" w:hAnsi="Times New Roman"/>
          <w:sz w:val="18"/>
          <w:szCs w:val="18"/>
          <w:color w:val="auto"/>
        </w:rPr>
        <w:t>The Company had no available-for-sale securities at December 31, 2024. Investments in securities at March 31, 2025 consisted of available-for-sale debt securities.</w:t>
      </w:r>
    </w:p>
    <w:tbl>
      <w:tblPr>
        <w:tblLayout w:type="fixed"/>
        <w:tblInd w:w="0" w:type="dxa"/>
        <w:tblCellMar>
          <w:top w:w="0" w:type="dxa"/>
          <w:left w:w="0" w:type="dxa"/>
          <w:bottom w:w="0" w:type="dxa"/>
          <w:right w:w="0" w:type="dxa"/>
        </w:tblCellMar>
      </w:tblPr>
      <w:tr>
        <w:trPr>
          <w:trHeight w:val="149"/>
        </w:trPr>
        <w:tc>
          <w:tcPr>
            <w:tcW w:w="8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22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cost, fair value and fair value levels of the Company's available-for-sale debt securities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Cost</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Level</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bonds</w:t>
            </w: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federal agency securities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Asset-backed securities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30"/>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Supranational securities</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96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204"/>
        </w:trPr>
        <w:tc>
          <w:tcPr>
            <w:tcW w:w="6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 maturities of debt securities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Within one year</w:t>
            </w: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One to five years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After ten years</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96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The fair value of the available-for-sale debt securities are determined based on observable market-based inputs, such as quotes from financial reporting services. Unrealized and realized gains and losses, and accrued interest on available-for-sale debt securities for three months ended March 31, 2025 were immaterial. As of March 31, 2025, no allowance for credit losses was recorded for these investments.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receivable consist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customers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state taxes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Inventories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8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2"/>
                <w:szCs w:val="22"/>
                <w:color w:val="auto"/>
              </w:rPr>
            </w:pPr>
          </w:p>
        </w:tc>
        <w:tc>
          <w:tcPr>
            <w:tcW w:w="12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Feedstock, additives, chemicals and other raw materials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Materials and supplies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carrying amounts and changes in the carrying amount of goodwill for the three months ended March 31, 2025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Performance and</w:t>
            </w:r>
          </w:p>
        </w:tc>
        <w:tc>
          <w:tcPr>
            <w:tcW w:w="14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Housing and</w:t>
            </w: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Essential Materials</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Infrastructure</w:t>
            </w:r>
          </w:p>
        </w:tc>
        <w:tc>
          <w:tcPr>
            <w:tcW w:w="220" w:type="dxa"/>
            <w:vAlign w:val="bottom"/>
          </w:tcPr>
          <w:p>
            <w:pPr>
              <w:spacing w:after="0"/>
              <w:rPr>
                <w:sz w:val="12"/>
                <w:szCs w:val="12"/>
                <w:color w:val="auto"/>
              </w:rPr>
            </w:pPr>
          </w:p>
        </w:tc>
        <w:tc>
          <w:tcPr>
            <w:tcW w:w="122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Products Segment</w:t>
            </w:r>
          </w:p>
        </w:tc>
        <w:tc>
          <w:tcPr>
            <w:tcW w:w="2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2024</w:t>
            </w:r>
          </w:p>
        </w:tc>
        <w:tc>
          <w:tcPr>
            <w:tcW w:w="2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Effects of changes in foreign exchange rates</w:t>
            </w:r>
          </w:p>
        </w:tc>
        <w:tc>
          <w:tcPr>
            <w:tcW w:w="2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March 31, 2025</w:t>
            </w:r>
          </w:p>
        </w:tc>
        <w:tc>
          <w:tcPr>
            <w:tcW w:w="2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Accounts Payable</w:t>
            </w:r>
          </w:p>
        </w:tc>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520" w:type="dxa"/>
            <w:vAlign w:val="bottom"/>
            <w:vMerge w:val="continue"/>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 consist of the following:</w:t>
            </w: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5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2"/>
                <w:szCs w:val="22"/>
                <w:color w:val="auto"/>
              </w:rPr>
            </w:pPr>
          </w:p>
        </w:tc>
        <w:tc>
          <w:tcPr>
            <w:tcW w:w="12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CCEEFF"/>
            </w:tcBorders>
          </w:tcPr>
          <w:p>
            <w:pPr>
              <w:spacing w:after="0"/>
              <w:rPr>
                <w:sz w:val="17"/>
                <w:szCs w:val="17"/>
                <w:color w:val="auto"/>
              </w:rPr>
            </w:pPr>
          </w:p>
        </w:tc>
        <w:tc>
          <w:tcPr>
            <w:tcW w:w="2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2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to related parties</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2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22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5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consist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3.60% senior notes due 2026</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related to tax-exempt waste disposal revenue bonds due 2027</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1.625% €700 million senior notes due 2029</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3.375% senior notes due 2030</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3.50% senior notes due 2032</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2.875% senior notes due 2041</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 senior notes due 2046</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4.375% senior notes due 2047</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3.125% senior notes due 2051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3.375% senior notes due 2061</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 due 2026</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 principal amount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carrying value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carrying value, net of current portion</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4,556</w:t>
            </w: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Unamortized debt issuance costs on long-term debt were $31 and $32 at March 31, 2025 and December 31, 2024, respectively. As of March 31, 2025, the Company was in compliance with all of its long-term debt covenants.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08"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On June 9, 2022, the Company entered into a new $1,500 revolving credit facility that is scheduled to mature on June 9, 2027 (the "Credit Agreement") and, in connection therewith, terminated the Company's then existing revolving credit agreement. The Credit Agreement bears interest at either (a) Adjusted Term Secured Overnight Financing Rate (as defined in the Credit Agreement) plus a margin ranging from 1.00% to 1.625% per annum or (b) Alternate Base Rate (as defined in the Credit Agreement) plus a margin ranging from 0.00% to 0.625% per annum, in each case depending on the credit rating of the Company. The Credit Agreement contains certain affirmative and negative covenants, including a quarterly total leverage ratio financial maintenance covenant. As of March 31, 2025, the Company was in compliance with the total leverage ratio financial maintenance covenant. The Credit Agreement also contains certain events of default and, if and for so long as certain events of default have occurred and are continuing, any overdue amounts outstanding under the Credit Agreement will accrue interest at an increased rate, the lenders can terminate their commitments to lend thereunder and payments of any outstanding amounts thereunder could be accelerated by the lenders. None of the Company's subsidiaries are required to guarantee the obligations of the Company under the Credit Agreement.</w:t>
      </w:r>
    </w:p>
    <w:p>
      <w:pPr>
        <w:spacing w:after="0" w:line="140"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Credit Agreement includes a $150 sub-limit for letters of credit, and any outstanding letters of credit will be deducted from availability under the facility. The Credit Agreement also provides for a discretionary $50 commitment for swingline loans to be provided on a same-day basis. The Company may also increase the size of the facility, in increments of at least $25, up to a maximum of $500, subject to certain conditions and if certain lenders agree to commit to such an increase.</w:t>
      </w:r>
    </w:p>
    <w:p>
      <w:pPr>
        <w:spacing w:after="0" w:line="126"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no borrowings and no letters of credit outstanding, and had borrowing availability of $1,500, under the Credit Agreement.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Accumulated Other Comprehensive Income (Loss)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by component for the three months ended March 31, 2025 and 2024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Pension and Other</w:t>
            </w:r>
          </w:p>
        </w:tc>
        <w:tc>
          <w:tcPr>
            <w:tcW w:w="15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Cumulative Foreign</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15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5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Benefits Liability, Net</w:t>
            </w:r>
          </w:p>
        </w:tc>
        <w:tc>
          <w:tcPr>
            <w:tcW w:w="28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of Tax</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Exchange, Net of Tax</w:t>
            </w:r>
          </w:p>
        </w:tc>
        <w:tc>
          <w:tcPr>
            <w:tcW w:w="3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attributable to Westlake Corporation</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March 31,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 attributable to Westlake Corporation</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March 31,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Measurements</w:t>
      </w:r>
    </w:p>
    <w:p>
      <w:pPr>
        <w:spacing w:after="0" w:line="108"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Company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171" w:lineRule="exact"/>
        <w:rPr>
          <w:sz w:val="20"/>
          <w:szCs w:val="20"/>
          <w:color w:val="auto"/>
        </w:rPr>
      </w:pPr>
    </w:p>
    <w:p>
      <w:pPr>
        <w:ind w:right="480" w:firstLine="405"/>
        <w:spacing w:after="0" w:line="258" w:lineRule="auto"/>
        <w:rPr>
          <w:sz w:val="20"/>
          <w:szCs w:val="20"/>
          <w:color w:val="auto"/>
        </w:rPr>
      </w:pPr>
      <w:r>
        <w:rPr>
          <w:rFonts w:ascii="Times New Roman" w:cs="Times New Roman" w:eastAsia="Times New Roman" w:hAnsi="Times New Roman"/>
          <w:sz w:val="18"/>
          <w:szCs w:val="18"/>
          <w:color w:val="auto"/>
        </w:rPr>
        <w:t>The Company has financial assets and liabilities subject to fair value measures. These financial assets and liabilities include cash and cash equivalents, accounts receivable, net, accounts payable and long-term debt, all of which are recorded at carrying value. The amounts reported in the consolidated balance sheets for cash and cash equivalents, accounts receivable, net and accounts payable approximate their fair value due to the short maturities of these instruments. See Note 2 to the unaudited consolidated financial statements in this Form 10-Q for a discussion of the Company's investments in available-for-sale securities.</w:t>
      </w:r>
    </w:p>
    <w:p>
      <w:pPr>
        <w:spacing w:after="0" w:line="12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majority of the Company's long-term debt instruments are publicly-traded. A market approach, based upon quotes from financial reporting services, is used to measure the fair value of the Company's long-term debt. Because the Company's long-term debt instruments may not be actively traded, the inputs used to measure the fair value of the Company's long-term debt are classified as Level 2 inputs within the fair value hierarchy.</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carrying and fair values of the Company's total long-term debt are summarized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0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28"/>
        </w:trPr>
        <w:tc>
          <w:tcPr>
            <w:tcW w:w="5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402"/>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442"/>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6"/>
        </w:trPr>
        <w:tc>
          <w:tcPr>
            <w:tcW w:w="5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80" w:type="dxa"/>
            <w:vAlign w:val="bottom"/>
          </w:tcPr>
          <w:p>
            <w:pPr>
              <w:spacing w:after="0"/>
              <w:rPr>
                <w:sz w:val="17"/>
                <w:szCs w:val="17"/>
                <w:color w:val="auto"/>
              </w:rPr>
            </w:pPr>
          </w:p>
        </w:tc>
        <w:tc>
          <w:tcPr>
            <w:tcW w:w="10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40" w:type="dxa"/>
            <w:vAlign w:val="bottom"/>
          </w:tcPr>
          <w:p>
            <w:pPr>
              <w:spacing w:after="0"/>
              <w:rPr>
                <w:sz w:val="17"/>
                <w:szCs w:val="17"/>
                <w:color w:val="auto"/>
              </w:rPr>
            </w:pPr>
          </w:p>
        </w:tc>
        <w:tc>
          <w:tcPr>
            <w:tcW w:w="90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54"/>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4,592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4,562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3,836</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94"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The effective income tax rate was (2.9)% for the three months ended March 31, 2025 as compared to 20.6% for the three months ended March 31, 2024. The effective income tax rate for the three months ended March 31, 2025 of (2.9)% differs from the statutory rate of 21.0% primarily due to a valuation allowance recorded against Westlake Epoxy Netherlands's net operating loss, for which no tax benefit can be recognized, U.S. federal research and development credits available to the Company, partially offset by an increase in reserves for uncertain tax positions, and the impact of earnings mix across jurisdictions. The amounts ascribed to these adjustments have an inflated impact on the effective income tax rate due to the pre-tax loss for the three months ended March 31, 2025. The effective income tax rate for the three months ended March 31, 2024 was below the statutory rate of 21.0% primarily due to U.S. federal research and development credits available to the Company, partially offset by an increase in reserves for uncertain income tax positions.</w:t>
      </w:r>
    </w:p>
    <w:p>
      <w:pPr>
        <w:spacing w:after="0" w:line="138"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On October 8, 2021, the Organization for Economic Co-operation and Development (the "OECD")/G20 Inclusive Framework on Base Erosion and Profit Shifting released a statement indicating that its members had agreed to a Two Pillar Solution to Address the Tax Challenges Arising from the Digitalisation of the Economy. Pillar One aims to reallocate a taxpayer's residual profits to the market jurisdictions with which the taxpayer has a nexus. Pillar Two aims to establish a minimum global tax rate of 15%, assessed through a top-up tax imposed on a country-by-country basis. Pillar One targets multinational companies with global annual revenue exceeding €20 billion and profit-to-revenue ratio of more than 10%. Based on the current threshold requirements, the Company does not expect to be subject to Pillar One. On December 20, 2021, the OECD released the Pillar Two model rules providing a framework for implementing a 15% minimum tax, also referred to as the Global Anti-Base Erosion ("GloBE") rules, on earnings of multinational companies with consolidated annual revenue exceeding €750 million.</w:t>
      </w:r>
    </w:p>
    <w:p>
      <w:pPr>
        <w:spacing w:after="0" w:line="13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On December 12, 2022, European Union (EU) member states agreed to adopt the 15% minimum tax under the Pillar Two model rules to be enacted into the member states' domestic tax laws by December 31, 2023, with an effective date beginning in 2024. As of March 31, 2025, a handful of EU member states have yet to comply. Outside of the EU, several other jurisdictions that the Company operates in have enacted legislation consistent with the GloBE rules, while other foreign countries continue to debate adoption and timing to adopt. The Company's global footprint includes operations within the EU, as well as other non-EU jurisdictions that have enacted GloBE related legislation, such as Brazil, Canada, Japan, Singapore, South Korea, Switzerland, the United Arab Emirates, the United Kingdom, and Vietnam. At this time, the Company anticipates qualifying for at least one safe harbor in the majority of jurisdictions in which it operates. For those jurisdictions where a safe harbor was not met, the impact is immaterial. The Company will continue to closely monitor Pillar Two developments and evaluate the potential impact to the Company as more foreign countries enact legislation, and as new information and guidance becomes available. The impacts of Pillar Two have been recorded since 2024, the first year in which the rules took effect.</w:t>
      </w:r>
    </w:p>
    <w:p>
      <w:pPr>
        <w:spacing w:after="0" w:line="225" w:lineRule="exact"/>
        <w:rPr>
          <w:sz w:val="20"/>
          <w:szCs w:val="20"/>
          <w:color w:val="auto"/>
        </w:rPr>
      </w:pPr>
    </w:p>
    <w:p>
      <w:pPr>
        <w:ind w:right="7820" w:firstLine="8"/>
        <w:spacing w:after="0" w:line="354" w:lineRule="auto"/>
        <w:tabs>
          <w:tab w:leader="none" w:pos="2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Earnings (Loss) and Dividends per Share </w:t>
      </w:r>
      <w:r>
        <w:rPr>
          <w:rFonts w:ascii="Times New Roman" w:cs="Times New Roman" w:eastAsia="Times New Roman" w:hAnsi="Times New Roman"/>
          <w:sz w:val="18"/>
          <w:szCs w:val="18"/>
          <w:b w:val="1"/>
          <w:bCs w:val="1"/>
          <w:i w:val="1"/>
          <w:iCs w:val="1"/>
          <w:color w:val="auto"/>
        </w:rPr>
        <w:t>Earnings (Loss) per Share</w:t>
      </w:r>
    </w:p>
    <w:p>
      <w:pPr>
        <w:spacing w:after="0" w:line="1"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Company has unvested restricted stock units outstanding that are considered participating securities and, therefore, computes basic and diluted earnings (loss) per share under the two-class method. Basic earnings (loss) per share for the periods are based upon the weighted average number of shares of common stock outstanding during each period. Diluted earnings per share include the effects of certain stock options and performance stock units. Diluted loss per share exclude the effects of certain stock options and performance stock units because the effect of including them would have been antidilutive.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4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40" w:type="dxa"/>
            <w:vAlign w:val="bottom"/>
            <w:tcBorders>
              <w:bottom w:val="single" w:sz="8" w:color="CCEEFF"/>
            </w:tcBorders>
          </w:tcPr>
          <w:p>
            <w:pPr>
              <w:spacing w:after="0"/>
              <w:rPr>
                <w:sz w:val="16"/>
                <w:szCs w:val="16"/>
                <w:color w:val="auto"/>
              </w:rPr>
            </w:pPr>
          </w:p>
        </w:tc>
        <w:tc>
          <w:tcPr>
            <w:tcW w:w="350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Westlake Corporation</w:t>
            </w:r>
          </w:p>
        </w:tc>
        <w:tc>
          <w:tcPr>
            <w:tcW w:w="35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attributable to participating securities</w:t>
            </w:r>
          </w:p>
        </w:tc>
        <w:tc>
          <w:tcPr>
            <w:tcW w:w="3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35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500" w:type="dxa"/>
            <w:vAlign w:val="bottom"/>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14</w:t>
            </w: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71"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denominator for the basic and diluted earnings per share computations shown in the consolidated statements of operations:</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128,308,537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128,359,983</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incremental shares from:</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Assumed exercise of options and vesting of performance stock units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660,387</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shares—diluted</w:t>
            </w: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128,308,537</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129,020,370</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8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common share attributable to Westlake Corporation:</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Excluded from the computation of diluted earnings per share are options to purchase 646,412 shares of common stock, and assumed vesting of 214,412 performance stock units for three months ended March 31, 2025, and options to purchase 260,722 shares of common stock for the three months ended March 31, 2024. These options and performance stock units were outstanding during the periods reported but were excluded because the effect of including them would have been antidilutive.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per Share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Dividends declared per common share for the three months ended March 31, 2025 and 2024 were as follows:</w:t>
      </w:r>
    </w:p>
    <w:p>
      <w:pPr>
        <w:spacing w:after="0" w:line="4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33655</wp:posOffset>
            </wp:positionV>
            <wp:extent cx="18859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5"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260" w:val="left"/>
          <w:tab w:leader="none" w:pos="9120" w:val="left"/>
          <w:tab w:leader="none" w:pos="9800" w:val="left"/>
          <w:tab w:leader="none" w:pos="10660" w:val="left"/>
        </w:tabs>
        <w:rPr>
          <w:sz w:val="20"/>
          <w:szCs w:val="20"/>
          <w:color w:val="auto"/>
        </w:rPr>
      </w:pPr>
      <w:r>
        <w:rPr>
          <w:rFonts w:ascii="Times New Roman" w:cs="Times New Roman" w:eastAsia="Times New Roman" w:hAnsi="Times New Roman"/>
          <w:sz w:val="18"/>
          <w:szCs w:val="18"/>
          <w:color w:val="auto"/>
        </w:rPr>
        <w:t>Dividends per common share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0.5250</w:t>
        <w:tab/>
        <w:t>$</w:t>
      </w:r>
      <w:r>
        <w:rPr>
          <w:sz w:val="20"/>
          <w:szCs w:val="20"/>
          <w:color w:val="auto"/>
        </w:rPr>
        <w:tab/>
      </w:r>
      <w:r>
        <w:rPr>
          <w:rFonts w:ascii="Times New Roman" w:cs="Times New Roman" w:eastAsia="Times New Roman" w:hAnsi="Times New Roman"/>
          <w:sz w:val="17"/>
          <w:szCs w:val="17"/>
          <w:color w:val="auto"/>
        </w:rPr>
        <w:t>0.5000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43180</wp:posOffset>
            </wp:positionV>
            <wp:extent cx="18859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77" w:lineRule="exact"/>
        <w:rPr>
          <w:sz w:val="20"/>
          <w:szCs w:val="20"/>
          <w:color w:val="auto"/>
        </w:rPr>
      </w:pPr>
    </w:p>
    <w:p>
      <w:pPr>
        <w:ind w:right="8900" w:firstLine="8"/>
        <w:spacing w:after="0" w:line="356" w:lineRule="auto"/>
        <w:tabs>
          <w:tab w:leader="none" w:pos="27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Information </w:t>
      </w:r>
      <w:r>
        <w:rPr>
          <w:rFonts w:ascii="Times New Roman" w:cs="Times New Roman" w:eastAsia="Times New Roman" w:hAnsi="Times New Roman"/>
          <w:sz w:val="18"/>
          <w:szCs w:val="18"/>
          <w:b w:val="1"/>
          <w:bCs w:val="1"/>
          <w:i w:val="1"/>
          <w:iCs w:val="1"/>
          <w:color w:val="auto"/>
        </w:rPr>
        <w:t xml:space="preserve">Equity Method Investments </w:t>
      </w:r>
      <w:r>
        <w:rPr>
          <w:rFonts w:ascii="Times New Roman" w:cs="Times New Roman" w:eastAsia="Times New Roman" w:hAnsi="Times New Roman"/>
          <w:sz w:val="18"/>
          <w:szCs w:val="18"/>
          <w:i w:val="1"/>
          <w:iCs w:val="1"/>
          <w:color w:val="auto"/>
        </w:rPr>
        <w:t>LACC, LLC Joint Venture</w:t>
      </w:r>
    </w:p>
    <w:p>
      <w:pPr>
        <w:spacing w:after="0" w:line="1" w:lineRule="exact"/>
        <w:rPr>
          <w:sz w:val="20"/>
          <w:szCs w:val="20"/>
          <w:color w:val="auto"/>
        </w:rPr>
      </w:pPr>
    </w:p>
    <w:p>
      <w:pPr>
        <w:ind w:right="620" w:firstLine="405"/>
        <w:spacing w:after="0" w:line="270" w:lineRule="auto"/>
        <w:rPr>
          <w:sz w:val="20"/>
          <w:szCs w:val="20"/>
          <w:color w:val="auto"/>
        </w:rPr>
      </w:pPr>
      <w:r>
        <w:rPr>
          <w:rFonts w:ascii="Times New Roman" w:cs="Times New Roman" w:eastAsia="Times New Roman" w:hAnsi="Times New Roman"/>
          <w:sz w:val="18"/>
          <w:szCs w:val="18"/>
          <w:color w:val="auto"/>
        </w:rPr>
        <w:t>As of March 31, 2025, the Company owned an aggregate 50% membership interest in LACC, LLC ("LACC"). The Company accounts for its investment in LACC under the equity method of accounting and the change for the three months ended March 31, 2025 was as follows:</w:t>
      </w:r>
    </w:p>
    <w:p>
      <w:pPr>
        <w:ind w:left="9880"/>
        <w:spacing w:after="0"/>
        <w:rPr>
          <w:sz w:val="20"/>
          <w:szCs w:val="20"/>
          <w:color w:val="auto"/>
        </w:rPr>
      </w:pPr>
      <w:r>
        <w:rPr>
          <w:rFonts w:ascii="Times New Roman" w:cs="Times New Roman" w:eastAsia="Times New Roman" w:hAnsi="Times New Roman"/>
          <w:sz w:val="14"/>
          <w:szCs w:val="14"/>
          <w:b w:val="1"/>
          <w:bCs w:val="1"/>
          <w:color w:val="auto"/>
        </w:rPr>
        <w:t>Investment in LACC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March 31, 2025</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940" w:hanging="933"/>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1,018</w:t>
      </w:r>
    </w:p>
    <w:p>
      <w:pPr>
        <w:spacing w:after="0" w:line="27"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9086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1" w:lineRule="exact"/>
        <w:rPr>
          <w:sz w:val="20"/>
          <w:szCs w:val="20"/>
          <w:color w:val="auto"/>
        </w:rPr>
      </w:pPr>
    </w:p>
    <w:p>
      <w:pPr>
        <w:ind w:left="940" w:hanging="933"/>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9086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43180</wp:posOffset>
            </wp:positionV>
            <wp:extent cx="9086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100" w:space="720"/>
            <w:col w:w="1400"/>
          </w:cols>
          <w:pgMar w:left="320" w:top="118" w:right="35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 Net</w:t>
      </w:r>
    </w:p>
    <w:p>
      <w:pPr>
        <w:spacing w:after="0" w:line="108" w:lineRule="exact"/>
        <w:rPr>
          <w:sz w:val="20"/>
          <w:szCs w:val="20"/>
          <w:color w:val="auto"/>
        </w:rPr>
      </w:pPr>
    </w:p>
    <w:p>
      <w:pPr>
        <w:ind w:right="620" w:firstLine="405"/>
        <w:spacing w:after="0" w:line="282" w:lineRule="auto"/>
        <w:rPr>
          <w:sz w:val="20"/>
          <w:szCs w:val="20"/>
          <w:color w:val="auto"/>
        </w:rPr>
      </w:pPr>
      <w:r>
        <w:rPr>
          <w:rFonts w:ascii="Times New Roman" w:cs="Times New Roman" w:eastAsia="Times New Roman" w:hAnsi="Times New Roman"/>
          <w:sz w:val="18"/>
          <w:szCs w:val="18"/>
          <w:color w:val="auto"/>
        </w:rPr>
        <w:t>Other assets, net were $823 and $708 at March 31, 2025 and December 31, 2024, respectively. Deferred turnaround costs, net of accumulated amortization, included in other assets, net were $462 and $352 at March 31, 2025 and December 31, 2024,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and Other Liabilities</w:t>
      </w:r>
    </w:p>
    <w:p>
      <w:pPr>
        <w:spacing w:after="0" w:line="9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Accrued and other liabilities were $1,330 and $1,368 at March 31, 2025 and December 31, 2024, respectively. Accrued rebates and current portion of operating lease liabilities, which are components of accrued and other liabilities, were $170 and $135, respectively, at March 31, 2025 and $232 and $128, respectively, at December 31, 2024. No other component of accrued and other liabilities was more than five percent of total current liabilities. Accrued liabilities with related parties were $28 and $26 at March 31, 2025 and December 31, 2024, respectively.</w:t>
      </w:r>
    </w:p>
    <w:p>
      <w:pPr>
        <w:sectPr>
          <w:pgSz w:w="11900" w:h="16838" w:orient="portrait"/>
          <w:cols w:equalWidth="0" w:num="1">
            <w:col w:w="11220"/>
          </w:cols>
          <w:pgMar w:left="320" w:top="118" w:right="359" w:bottom="1440"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Activities</w:t>
      </w:r>
    </w:p>
    <w:p>
      <w:pPr>
        <w:spacing w:after="0" w:line="94"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Capital expenditure related liabilities, included in accounts payable and accrued and other liabilities, were $114 and $112 at March 31, 2025 and March 31, 2024,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08"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other income, net of $37 for the three months ended March 31, 2025 included interest income of $29, and other income, net of $50 for the three months ended March 31, 2024 included interest income of $40.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Information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60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02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information:</w:t>
            </w: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24"/>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0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The Company is involved in a number of legal and regulatory matters that are incidental to the normal conduct of its business, including lawsuits, investigations and claims. The outcome of these matters are inherently unpredictable. The Company believes that, in the aggregate, the outcome of all known legal and regulatory matters will not have a material adverse effect on its consolidated financial statements; however, under certain circumstances, if required to recognize costs in a specific period, when combined with other factors, outcomes with respect to such matters may be material to the Company's consolidated statements of operations in such period. The Company's assessment of the potential impact of environmental matters, in particular, is subject to uncertainty due to the complex, ongoing and evolving process of investigation and remediation of such environmental matters, and the potential for technological and regulatory developments. In addition, the impact of evolving claims and programs, such as natural resource damage claims, industrial site reuse initiatives and state remediation programs creates further uncertainty of the ultimate resolution of these matters. The Company anticipates that the resolution of many legal and regulatory matters, and in particular environmental matters, will occur over an extended period of time.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69"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i w:val="1"/>
          <w:iCs w:val="1"/>
          <w:color w:val="auto"/>
        </w:rPr>
        <w:t>Caustic Soda Antitrust</w:t>
      </w:r>
      <w:r>
        <w:rPr>
          <w:rFonts w:ascii="Times New Roman" w:cs="Times New Roman" w:eastAsia="Times New Roman" w:hAnsi="Times New Roman"/>
          <w:sz w:val="18"/>
          <w:szCs w:val="18"/>
          <w:color w:val="auto"/>
        </w:rPr>
        <w:t>. The Company and other caustic soda producers were named as defendants in multiple purported class action civil lawsuits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filed since March 2019 in the U.S. District Court for the Western District of New York. The lawsuits allege the defendants conspired to fix, raise, maintain and stabilize the price of caustic soda, restrict domestic (U.S.) supply of caustic soda and allocate caustic soda customers. The other defendants named in the lawsuits are Olin Corporation, K.A. Steel Chemicals (a wholly-owned subsidiary of Olin), Occidental Chemical Corporation d/b/a OxyChem, Shintech Incorporated and Formosa Plastics Corporation, U.S.A. Each of the lawsuits is filed on behalf of the respective named plaintiff or plaintiffs and a putative class comprised of either direct purchasers or indirect purchasers of caustic soda in the United States. The plaintiffs in the putative class for such direct purchasers seek $861 in single damages from the defendants, in addition to treble damages and attorney's fees. The plaintiffs in the putative class for such indirect purchasers seek approximately $500 in single damages from the defendants, in addition to treble damages (if permitted under applicable state law) and injunctive relief. In 2023, the Company entered into a settlement agreement with the direct purchaser plaintiffs but, after the Court declined preliminary approval of the settlement and rejected certification of a settlement class in June 2024, the Company terminated the settlement agreement. The Court also denied the indirect purchaser plaintiffs' motion for class certification in December 2024. Each of the direct and indirect purchaser plaintiffs have sought to appeal the Court's orders regarding class certification. The U.S. Court of Appeals for the Second Circuit denied the direct and indirect purchaser plaintiffs' petitions for leave to appeal in February and April 2025, respectively. Beginning in October 2020, similar class action proceedings were also filed in Canada before the Superior Court of Québec as well as before the Federal Court. These proceedings seek the certification or authorization of a class action on behalf of all residents of Canada who purchased caustic soda (including, in one of the cases, those who merely purchased products containing caustic soda) from October 1, 2015 through the present or such date deemed appropriate by the court. In December 2021, the Superior Court of Québec stayed its proceedings until after a final certification decision is released in the Federal Court proceedings. At this time, the Company is not able to estimate the impact, if any, that these lawsuits could have on the Company's consolidated financial statements either in the current period or in future periods.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69"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Ethylene Antitrust. </w:t>
      </w:r>
      <w:r>
        <w:rPr>
          <w:rFonts w:ascii="Times New Roman" w:cs="Times New Roman" w:eastAsia="Times New Roman" w:hAnsi="Times New Roman"/>
          <w:sz w:val="18"/>
          <w:szCs w:val="18"/>
          <w:color w:val="auto"/>
        </w:rPr>
        <w:t>The Company and other ethylene consumers were named as defendants in a civil lawsuit filed by Shell Chemical Europe B.V.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("SCE") in March 2023 in the District Court of Amsterdam, the Netherlands, following the European Commission Decision AT.40410 - Ethylene from July 14, 2020 (the "European Commission Decision"). The lawsuit alleges the defendants conspired to lower the purchase price for ethylene and ethylene derivatives during the specified period by manipulating the monthly contract price. SCE seeks a judgment establishing that the Company and the co-defendants are jointly and severally liable for alleged damages in the amount of approximately €1,026 million with interest compounding daily from January 1, 2020 and continuing until payment in full, as provided by Dutch law, as well as reimbursement of costs related to the proceeding plus statutory interest. The Company and other ethylene consumers were also named as defendants in a civil lawsuit filed by Stichting Ethylene Claims ("Stichting") in November 2023 in the District Court of Amsterdam, the Netherlands, following the European Commission Decision. Stichting is a foundation under Dutch Law that claims to represent various parties asserting injury by the same alleged conduct of defendants, seeking a declaratory judgment establishing that the Company and other defendants are jointly and severally liable for an unspecified amount of damages. The Company and certain of its subsidiaries, including Westlake Germany GmbH &amp; Co. KG, Westlake Vinnolit GmbH &amp; Co. KG and Westlake Vinnolit Holdings GmbH, along with other ethylene consumers, were also named as defendants in a civil lawsuit filed by BASF SE and BASF Antwerpen N.V. (together "BASF") in December 2024 and in January 2025 in the District Court of Munich, Germany, following the same European Commission Decision. BASF seeks alleged damages of</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€1,397 million from the defendants, plus statutory interest accruing from the date of each relevant transaction (estimated to be approximately €1 billion as of March 31, 2025), due to an alleged cartel-induced undercharge for certain ethylene sales to the defendants and third parties during the period identified in the European Commission's Decision and for 24 months thereafter. The Company and certain of its subsidiaries, including Westlake Germany GmbH &amp; Co. KG, Westlake Vinnolit GmbH &amp; Co. KG and Westlake Vinnolit Holdings GmbH, along with other ethylene consumers, were also named as defendants in a civil lawsuit filed by Total Energies Petrochemicals France and TotalEnergies Petrochemicals &amp; Refining SA (together "Total") in February 2025 in the District Court of Amsterdam, the Netherlands, following the European Commission Decision. Total seeks alleged damages of €625 million from the defendants, plus statutory interest accruing from the date of each relevant transaction, due to an alleged cartel-induced undercharge for certain ethylene sales to the defendants and third parties during the period identified in the European Commission Decision and for 24 months thereafter. Additionally, Total seeks a declaratory judgment establishing that the Company and other defendants are jointly and severally liable for unspecified amount of damages relating to the effect of the alleged cartel-induced undercharges on Total's polyethylene sales. The Company and certain of its subsidiaries, including Westlake Germany GmbH &amp; Co. KG, Westlake Vinnolit GmbH &amp; Co. KG and Westlake Vinnolit Holdings GmbH, along with other ethylene consumers, were also named as defendants in a civil lawsuit filed by Dow Europe GmbH, Dow Chemical Iberica S.L., Dow Deutschland Anlagengesellschaft mbH and Dow Benelux B.V. (collectively, "Dow") in April 2025 in the District Court of Munich, Germany following the European Commission Decision. Dow seeks alleged damages of €767 million from the defendants, plus statutory interest accruing from the date of each relevant transaction, due to an alleged cartel-induced undercharge for certain ethylene sales to the defendants and third parties during the period identified in the European Commission Decision and for 24 months thereafter. At this time, the Company is not able to estimate the impact, if any, that the SCE lawsuit, the Stichting lawsuit, the BASF lawsuit, the Total lawsuit, and/or the Dow lawsuit could have on the Company's consolidated financial statements either in the current period or in future periods.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69"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PVC Pipe Antitrust. </w:t>
      </w:r>
      <w:r>
        <w:rPr>
          <w:rFonts w:ascii="Times New Roman" w:cs="Times New Roman" w:eastAsia="Times New Roman" w:hAnsi="Times New Roman"/>
          <w:sz w:val="18"/>
          <w:szCs w:val="18"/>
          <w:color w:val="auto"/>
        </w:rPr>
        <w:t>The Company and other manufacturers of PVC pipe have been named as defendants in nine putative class action civil lawsuits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the "PVC Pipe Antitrust Lawsuits"), all filed in the U.S. District Court for the Northern District of Illinois between August 2024 and April 2025. Other defendants named in one or more of the lawsuits include Atkore, Inc., Cantex, Inc., Diamond Plastics Corporation, IPEX USA LLC, J-M Manufacturing Company, Inc. (d/b/a JM Eagle), National Pipe &amp; Plastics, Inc., Northern Pipe Products, Inc., Oil Price Information Service, LLC ("OPIS"), Otter Tail Corporation, PipeLife Jetstream, Inc., Prime Conduit, Inc., Sanderson Pipe Corporation, Southern Pipe, Inc., Westlake Pipe &amp; Fittings Corporation, and Vinyltech Corporation. The plaintiffs in three originally separately filed lawsuits filed a single consolidated amended complaint in October 2024 on behalf of a putative class of non-converter seller purchasers and allege that PVC pipe manufacturers conspired with each other, an industry publication (OPIS), and certain PVC pipe distributors to fix, raise, maintain and stabilize the domestic prices of PVC pipe, resulting in the plaintiffs paying artificially high prices for PVC pipe purchased from non-manufacturer pipe sellers. These plaintiffs assert various claims under Section 1 of the Sherman Act and the competition laws of multiple states, and seek injunctive relief, treble damages of undisclosed amounts, and equitable relief, plus attorneys' fees and costs. The plaintiffs in two other suits purport to represent direct purchasers of PVC pipe from pipe manufacturers and allege the manufacturers conspired with each other and OPIS to fix, raise, maintain and stabilize the domestic prices of PVC pipe, resulting in the direct purchasers paying artificially high prices for PVC pipe. These plaintiffs assert claims under Section 1 and/or Section 3 of the Sherman Act, and seek injunctive relief, treble damages of undisclosed amounts, and equitable relief, plus attorneys' fees and costs. The plaintiffs in the remaining lawsuits allege the same general conspiracy as the other plaintiffs and also seek to represent a separate end user class of indirect purchasers, asserting two claims under Section 1 of the Sherman Act and violations of various state competition and consumer protection laws, and seek injunctive relief, treble damages of undisclosed amounts, equitable relief, attorneys' fees and costs. At this time, the Company is not able to estimate the impact, if any, that the PVC Pipe Antitrust Lawsuits could have on the Company's consolidated financial statements either in the current period or in future periods.</w:t>
      </w:r>
    </w:p>
    <w:p>
      <w:pPr>
        <w:spacing w:after="0" w:line="138"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Triad Hunter. </w:t>
      </w:r>
      <w:r>
        <w:rPr>
          <w:rFonts w:ascii="Times New Roman" w:cs="Times New Roman" w:eastAsia="Times New Roman" w:hAnsi="Times New Roman"/>
          <w:sz w:val="18"/>
          <w:szCs w:val="18"/>
          <w:color w:val="auto"/>
        </w:rPr>
        <w:t>In April 2018, Triad Hunter, LLC ("Triad Hunter") filed suit against the Company and certain of its subsidiaries in the Court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Pleas in Monroe County, Ohio seeking injunctive relief and alleging negligence and trespass at the Natrium Plant with respect to Triad Hunter's well drilling activities in Ohio. On October 27, 2022, the jury returned a verdict finding that the Company had committed trespass and was negligent in conducting salt mining operations at the Natrium Plant. The court subsequently denied Triad Hunter's request to enjoin further solution mining from one of the brine fields at the Natrium Plant. On September 12, 2023, final judgment was entered in the amount of $70 with interest accruing at the rate of 5% from the date the judgment was rendered, as provided by law. Following the Company's appeal, the intermediate appellate court affirmed the trial court's judgment and the Ohio Supreme Court subsequently denied the Company's petition for review. As of March 31, 2025, the Company had reserved approximately $76 for the damages awarded to Triad Hunter. On April 16, 2025, the Company filed a motion in the trial court for partial relief from that judgment, challenging approximately $30 of the jury's verdict based on newly discovered evidence. That motion is currently pending.</w:t>
      </w:r>
    </w:p>
    <w:p>
      <w:pPr>
        <w:spacing w:after="0" w:line="134" w:lineRule="exact"/>
        <w:rPr>
          <w:sz w:val="20"/>
          <w:szCs w:val="20"/>
          <w:color w:val="auto"/>
        </w:rPr>
      </w:pPr>
    </w:p>
    <w:p>
      <w:pPr>
        <w:jc w:val="both"/>
        <w:ind w:right="200" w:firstLine="405"/>
        <w:spacing w:after="0" w:line="266" w:lineRule="auto"/>
        <w:rPr>
          <w:sz w:val="20"/>
          <w:szCs w:val="20"/>
          <w:color w:val="auto"/>
        </w:rPr>
      </w:pPr>
      <w:r>
        <w:rPr>
          <w:rFonts w:ascii="Times New Roman" w:cs="Times New Roman" w:eastAsia="Times New Roman" w:hAnsi="Times New Roman"/>
          <w:sz w:val="18"/>
          <w:szCs w:val="18"/>
          <w:i w:val="1"/>
          <w:iCs w:val="1"/>
          <w:color w:val="auto"/>
        </w:rPr>
        <w:t>Brazilian Contractual Indemnification Lawsuit</w:t>
      </w:r>
      <w:r>
        <w:rPr>
          <w:rFonts w:ascii="Times New Roman" w:cs="Times New Roman" w:eastAsia="Times New Roman" w:hAnsi="Times New Roman"/>
          <w:sz w:val="18"/>
          <w:szCs w:val="18"/>
          <w:color w:val="auto"/>
        </w:rPr>
        <w:t>. In July 2012, PPG Industries, Inc. ("PPG") entered into an agreement to separate various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of its commodity chemicals business, which were transferred to a subsidiary of Eagle Spinco, Inc., a wholly owned subsidiary of PPG ("Eagle Spinco"). The separation and the post separation contractual relationship between PPG and Eagle Spinco are generally set forth in that certain Separation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dated as of July 18, 2012, by and between PPG and Eagle Spinco (the "Separation Agreement"). In January 2013, Eagle Spinco merged with</w:t>
      </w:r>
    </w:p>
    <w:p>
      <w:pPr>
        <w:spacing w:after="0" w:line="5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Georgia Gulf Corporation to create Axiall Corporation ("Axiall"), which the Company later acquired in August 2016. Eagle Spinco is currently a wholly owned indirect subsidiary of the Company.</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May 2024, a trial court in Manaus, Brazil issued a decision awarding damages to Brazilian company Di Gregorio Navegacao, Ltda ("Di Gregorio")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 lawsuit filed by Di Gregorio against PPG relating to an explosion on November 9, 1998 that destroyed the M/V DG Harmony and her cargo,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PPG-owned calcium hypochlorite (the "Di Gregorio Lawsuit"). The decision awarded damages to Di Gregorio in the approximate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R$550 million (Brazilian real), plus a monetary adjustment and interest (based on SELIC) accruing from April 3, 2006, as well as 20% for legal fees and a</w:t>
      </w:r>
    </w:p>
    <w:p>
      <w:pPr>
        <w:spacing w:after="0" w:line="3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small procedural fine. The parties to the lawsuit are waiting on the trial court's Accounting Department to release the aggregate judgment amount. PPG appealed the trial court's decision and the Amazonas Court of Appeals issued a decision affirming in part the trial court's decision. PPG is expected to appeal to the Brazilian Superior Court of Justice. PPG asserts that the Company and certain of its subsidiaries are responsible for any judgment in the Di Gregorio Lawsuit.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71" w:lineRule="exact"/>
        <w:rPr>
          <w:sz w:val="20"/>
          <w:szCs w:val="20"/>
          <w:color w:val="auto"/>
        </w:rPr>
      </w:pPr>
    </w:p>
    <w:p>
      <w:pPr>
        <w:jc w:val="both"/>
        <w:ind w:right="20" w:firstLine="405"/>
        <w:spacing w:after="0" w:line="276" w:lineRule="auto"/>
        <w:rPr>
          <w:sz w:val="20"/>
          <w:szCs w:val="20"/>
          <w:color w:val="auto"/>
        </w:rPr>
      </w:pPr>
      <w:r>
        <w:rPr>
          <w:rFonts w:ascii="Times New Roman" w:cs="Times New Roman" w:eastAsia="Times New Roman" w:hAnsi="Times New Roman"/>
          <w:sz w:val="17"/>
          <w:szCs w:val="17"/>
          <w:color w:val="auto"/>
        </w:rPr>
        <w:t>On June 13, 2024, PPG filed a lawsuit against the Company, Axiall and Eagle Spinco in Delaware Chancery Court, and later amended its petition and added Westlake US 2 LLC as a defendant. In this lawsuit, PPG generally asks the court to find that the defendants: (1) breached the Separation Agreement;</w:t>
      </w:r>
    </w:p>
    <w:p>
      <w:pPr>
        <w:spacing w:after="0" w:line="1" w:lineRule="exact"/>
        <w:rPr>
          <w:sz w:val="20"/>
          <w:szCs w:val="20"/>
          <w:color w:val="auto"/>
        </w:rPr>
      </w:pPr>
    </w:p>
    <w:p>
      <w:pPr>
        <w:ind w:right="160" w:firstLine="8"/>
        <w:spacing w:after="0" w:line="252"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abandon the defense of the Di Gregorio Lawsuit; (3) must acknowledge that they are solely responsible for the liabilities and defense costs of the Di Gregorio Lawsuit; (4) must handle and resolve the Di Gregorio Lawsuit without access to PPG's insurance rights; and (5) must take all steps necessary to protect PPG and its affiliates from any enforcement action or harm brought by the Di Gregorio Lawsuit. The Company is defending the Delaware litigation and has asserted counterclaims against PPG seeking (1) damages relating to PPG's breach of the Separation Agreement and (2) a declaration that PPG is not entitled to indemnification for the Di Gregorio Lawsuit unless it engages in efforts to pursue relevant insurance claims and assigns to Eagle Spinco its rights to those claims.</w:t>
      </w:r>
    </w:p>
    <w:p>
      <w:pPr>
        <w:spacing w:after="0" w:line="136"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At this time, the Company is not able to estimate the impact that the Delaware lawsuit and Eagle Spinco's contractual obligations related to the lawsuit could have on the Company's consolidated financial statements either in the current period or in future periods.</w:t>
      </w:r>
    </w:p>
    <w:p>
      <w:pPr>
        <w:spacing w:after="0" w:line="10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Environmental Contingencies. </w:t>
      </w:r>
      <w:r>
        <w:rPr>
          <w:rFonts w:ascii="Times New Roman" w:cs="Times New Roman" w:eastAsia="Times New Roman" w:hAnsi="Times New Roman"/>
          <w:sz w:val="18"/>
          <w:szCs w:val="18"/>
          <w:color w:val="auto"/>
        </w:rPr>
        <w:t>As of March 31, 2025 and December 31, 2024, the Company had reserves for environmental contingencies totaling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$70 and $72, respectively, most of which was classified as noncurrent liabilities. The Company's assessment of the potential impact of these environmental contingencies is subject to considerable uncertainty due to the complex, ongoing and evolving process of investigation and, if necessary, remediation, of such environmental contingencies, and the potential for technological and regulatory developments.</w:t>
      </w:r>
    </w:p>
    <w:p>
      <w:pPr>
        <w:spacing w:after="0" w:line="126"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Calvert City Proceedings. </w:t>
      </w:r>
      <w:r>
        <w:rPr>
          <w:rFonts w:ascii="Times New Roman" w:cs="Times New Roman" w:eastAsia="Times New Roman" w:hAnsi="Times New Roman"/>
          <w:sz w:val="18"/>
          <w:szCs w:val="18"/>
          <w:color w:val="auto"/>
        </w:rPr>
        <w:t>As the current owner of the Calvert City, Kentucky facility, the Company was named by the Environmental Protection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Agency (the "EPA") as a potentially responsible party ("PRP") pursuant to the Comprehensive Environmental Response, Compensation, and Liability Act of 1980 along with Goodrich Corporation ("Goodrich") and its successor-in-interest, Avient Corporation (formerly known as PolyOne Corporation, "Avient"). In October 2019, the PRPs received special notice letters for the remedial action phase of work at the site. On September 17, 2020, the EPA and the Department of Justice filed a proposed consent decree for the remedial action with the U.S. District Court for the Western District of Kentucky. On November 16, 2020, the Department of Justice filed a motion to approve and enter the consent decree. On January 28, 2021, the Court granted the unopposed motion to enter the consent decree, which became effective the same day. The allocation of liability for remedial and operation and maintenance costs at the Calvert City site is governed by a series of agreements between the Company, Goodrich and Avient.</w:t>
      </w:r>
    </w:p>
    <w:p>
      <w:pPr>
        <w:spacing w:after="0" w:line="133"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March 2022, the Company filed a demand for arbitration seeking reimbursement for certain allocable costs incurred during the applicable period since May 2017, and which Avient has failed to pay or disputed under these agreements. In April 2022, Avient filed a complaint in the federal district court for the Western District of Kentucky disputing the enforceability of one of the agreements and seeking to enjoin arbitration. Avient claims that the allocable costs at issue are up to $22, for which Avient claims the Company is totally liable. On September 30, 2023, the court granted the Company's request for summary judgment, but the arbitration proceeding remains stayed pending the resolution of Avient's appeal. The Company disputes Avient's claims and believes it is unlikely that any remediation costs allocable to it would result in material expenditures in any individual reporting period.</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6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Sulphur Mines Dome. </w:t>
      </w:r>
      <w:r>
        <w:rPr>
          <w:rFonts w:ascii="Times New Roman" w:cs="Times New Roman" w:eastAsia="Times New Roman" w:hAnsi="Times New Roman"/>
          <w:sz w:val="18"/>
          <w:szCs w:val="18"/>
          <w:color w:val="auto"/>
        </w:rPr>
        <w:t>The Company owns salt solution-mining caverns at the Sulphur Mines Dome in Sulphur, Louisiana. The Louisiana Department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Energy and Natural Resources ("LDENR") issued Compliance Order No. IMD 2022-027 and several supplements to that order, the latest in October 2023, in response to pressure anomaly events in two of the Company's brine caverns. The compliance order and supplements thereto have required the Company to undertake various activities related to response planning, monitoring, investigation and mitigation of potential impacts in the event of future cavern pressure anomalies or failures. In June 2024, the Company's cavern experienced a pressure event, requiring increased rates of brine injection to maintain cavern stability. Citing the recent pressure event, LDENR ordered the Company to begin construction of a dome-wide containment structure. The capital costs and expenditures required to comply with the compliance orders and supplements have been and will continue to be incurred. In response to these orders, the Company reserved approximately $32 in connection with monitoring wells and other remedial activities. At this time, the Company is unable to estimate the impact, if any, that other ongoing expenditures or future injunctive relief ordered by the government could have on the Company's consolidated financial statements either in the current period or in future periods.</w:t>
      </w:r>
    </w:p>
    <w:p>
      <w:pPr>
        <w:spacing w:after="0" w:line="133"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April 2023, Yellow Rock LLC ("Yellow Rock") filed a petition in the 14th Judicial District Court of Calcasieu Parish, Louisiana alleging negligence and breach of duties related to the operations and maintenance of caverns at the Sulphur Mines Dome. In November 2024, Yellow Rock filed an amended petition naming additional defendants, including PPG, Lonquist &amp; Co. LLC and Lonquist Field Services, LLC, and asserting additional allegations that the defendants' operations of assets at the Sulphur Mines Dome interfered with and prevented Yellow Rock's development of oil and gas assets including alleged damages in excess of $100. At this time, the Company is not able to estimate the impact that this lawsuit could have on the Company's consolidated financial statements either in the current period or in future periods.</w:t>
      </w:r>
    </w:p>
    <w:p>
      <w:pPr>
        <w:spacing w:after="0" w:line="13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Environmental Remediation: Reasonably Possible Matters. </w:t>
      </w:r>
      <w:r>
        <w:rPr>
          <w:rFonts w:ascii="Times New Roman" w:cs="Times New Roman" w:eastAsia="Times New Roman" w:hAnsi="Times New Roman"/>
          <w:sz w:val="18"/>
          <w:szCs w:val="18"/>
          <w:color w:val="auto"/>
        </w:rPr>
        <w:t>The Company's assessment of the potential impact of environmental contingencies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considerable uncertainty due to the complex, ongoing and evolving process of investigation and remediation, if necessary, of such environmental contingencies, and the potential for technological and regulatory developments. As such, in addition to the amounts currently reserved for contingencies that are probable and reasonably estimable as discussed above, the Company may be subject to reasonably possible loss contingencies related to environmental matters in the range of $100 to $170.</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94"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The Company operates in two principal operating segments, which are the Company's reportable segments, Performance and Essential Materials and Housing and Infrastructure Products. These segments are strategic business units that offer a variety of different materials and products. The Company manages each segment separately as each business requires different technology and marketing strategies.</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external sales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Performance Materials</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1,164</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Essential Materials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Performance and Essential Materials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1,931</w:t>
            </w:r>
          </w:p>
        </w:tc>
        <w:tc>
          <w:tcPr>
            <w:tcW w:w="0" w:type="dxa"/>
            <w:vAlign w:val="bottom"/>
          </w:tcPr>
          <w:p>
            <w:pPr>
              <w:spacing w:after="0"/>
              <w:rPr>
                <w:sz w:val="1"/>
                <w:szCs w:val="1"/>
                <w:color w:val="auto"/>
              </w:rPr>
            </w:pP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Housing Products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Infrastructure Products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Housing and Infrastructure Products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1,044</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segments and consolidated</w:t>
            </w:r>
          </w:p>
        </w:tc>
        <w:tc>
          <w:tcPr>
            <w:tcW w:w="90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2,975</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Intersegment sales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9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900" w:type="dxa"/>
            <w:vAlign w:val="bottom"/>
            <w:tcBorders>
              <w:top w:val="single" w:sz="8" w:color="auto"/>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 segment expenses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Raw material, energy, manufacturing and logistics costs</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1,708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cost of sales</w:t>
            </w:r>
          </w:p>
        </w:tc>
        <w:tc>
          <w:tcPr>
            <w:tcW w:w="90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1,914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Restructuring, transaction and integration-related costs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90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Raw material, energy, manufacturing and logistics costs</w:t>
            </w:r>
          </w:p>
        </w:tc>
        <w:tc>
          <w:tcPr>
            <w:tcW w:w="90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tcPr>
          <w:p>
            <w:pPr>
              <w:spacing w:after="0"/>
              <w:rPr>
                <w:sz w:val="19"/>
                <w:szCs w:val="19"/>
                <w:color w:val="auto"/>
              </w:rPr>
            </w:pPr>
          </w:p>
        </w:tc>
        <w:tc>
          <w:tcPr>
            <w:tcW w:w="9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cost of sales</w:t>
            </w:r>
          </w:p>
        </w:tc>
        <w:tc>
          <w:tcPr>
            <w:tcW w:w="90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transaction and integration-related costs</w:t>
            </w: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900" w:type="dxa"/>
            <w:vAlign w:val="bottom"/>
            <w:tcBorders>
              <w:top w:val="single" w:sz="8" w:color="auto"/>
              <w:bottom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8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40" w:type="dxa"/>
            <w:vAlign w:val="bottom"/>
            <w:tcBorders>
              <w:bottom w:val="single" w:sz="8" w:color="CCEEFF"/>
            </w:tcBorders>
          </w:tcPr>
          <w:p>
            <w:pPr>
              <w:spacing w:after="0"/>
              <w:rPr>
                <w:sz w:val="16"/>
                <w:szCs w:val="16"/>
                <w:color w:val="auto"/>
              </w:rPr>
            </w:pPr>
          </w:p>
        </w:tc>
        <w:tc>
          <w:tcPr>
            <w:tcW w:w="390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4840" w:type="dxa"/>
            <w:vAlign w:val="bottom"/>
            <w:gridSpan w:val="2"/>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39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3900" w:type="dxa"/>
            <w:vAlign w:val="bottom"/>
          </w:tcPr>
          <w:p>
            <w:pPr>
              <w:spacing w:after="0"/>
              <w:rPr>
                <w:sz w:val="19"/>
                <w:szCs w:val="19"/>
                <w:color w:val="auto"/>
              </w:rPr>
            </w:pPr>
          </w:p>
        </w:tc>
        <w:tc>
          <w:tcPr>
            <w:tcW w:w="94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4840" w:type="dxa"/>
            <w:vAlign w:val="bottom"/>
            <w:gridSpan w:val="2"/>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39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39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39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3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net</w:t>
            </w:r>
          </w:p>
        </w:tc>
        <w:tc>
          <w:tcPr>
            <w:tcW w:w="39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4840" w:type="dxa"/>
            <w:vAlign w:val="bottom"/>
            <w:gridSpan w:val="2"/>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39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3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39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3900" w:type="dxa"/>
            <w:vAlign w:val="bottom"/>
          </w:tcPr>
          <w:p>
            <w:pPr>
              <w:spacing w:after="0"/>
              <w:rPr>
                <w:sz w:val="19"/>
                <w:szCs w:val="19"/>
                <w:color w:val="auto"/>
              </w:rPr>
            </w:pPr>
          </w:p>
        </w:tc>
        <w:tc>
          <w:tcPr>
            <w:tcW w:w="94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(benefit from) income taxes</w:t>
            </w:r>
          </w:p>
        </w:tc>
        <w:tc>
          <w:tcPr>
            <w:tcW w:w="3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4840" w:type="dxa"/>
            <w:vAlign w:val="bottom"/>
            <w:gridSpan w:val="2"/>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39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39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39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3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9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4840" w:type="dxa"/>
            <w:vAlign w:val="bottom"/>
            <w:gridSpan w:val="2"/>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9"/>
                <w:szCs w:val="19"/>
                <w:color w:val="auto"/>
              </w:rPr>
            </w:pP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39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3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39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3900" w:type="dxa"/>
            <w:vAlign w:val="bottom"/>
          </w:tcPr>
          <w:p>
            <w:pPr>
              <w:spacing w:after="0"/>
              <w:rPr>
                <w:sz w:val="19"/>
                <w:szCs w:val="19"/>
                <w:color w:val="auto"/>
              </w:rPr>
            </w:pPr>
          </w:p>
        </w:tc>
        <w:tc>
          <w:tcPr>
            <w:tcW w:w="94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900" w:type="dxa"/>
            <w:vAlign w:val="bottom"/>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23</w:t>
            </w: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reconciliation of total reportable segments income from operations to consolidated income before income taxes is as follows: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 income from operations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 loss from operations</w:t>
            </w:r>
          </w:p>
        </w:tc>
        <w:tc>
          <w:tcPr>
            <w:tcW w:w="980" w:type="dxa"/>
            <w:vAlign w:val="bottom"/>
          </w:tcPr>
          <w:p>
            <w:pPr>
              <w:spacing w:after="0"/>
              <w:rPr>
                <w:sz w:val="19"/>
                <w:szCs w:val="19"/>
                <w:color w:val="auto"/>
              </w:rPr>
            </w:pP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37</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321"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March 31,</w:t>
      </w: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15" w:lineRule="exact"/>
        <w:rPr>
          <w:sz w:val="20"/>
          <w:szCs w:val="20"/>
          <w:color w:val="auto"/>
        </w:rPr>
      </w:pPr>
    </w:p>
    <w:p>
      <w:pPr>
        <w:sectPr>
          <w:pgSz w:w="11900" w:h="16838" w:orient="portrait"/>
          <w:cols w:equalWidth="0" w:num="2">
            <w:col w:w="9380" w:space="720"/>
            <w:col w:w="114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r>
      <w:tr>
        <w:trPr>
          <w:trHeight w:val="230"/>
        </w:trPr>
        <w:tc>
          <w:tcPr>
            <w:tcW w:w="8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Performance and Essential Materials </w:t>
            </w:r>
            <w:r>
              <w:rPr>
                <w:rFonts w:ascii="Times New Roman" w:cs="Times New Roman" w:eastAsia="Times New Roman" w:hAnsi="Times New Roman"/>
                <w:sz w:val="23"/>
                <w:szCs w:val="23"/>
                <w:color w:val="auto"/>
                <w:vertAlign w:val="superscript"/>
              </w:rPr>
              <w:t>(1)</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13,338</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18,006</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20,750</w:t>
            </w:r>
          </w:p>
        </w:tc>
      </w:tr>
      <w:tr>
        <w:trPr>
          <w:trHeight w:val="20"/>
        </w:trPr>
        <w:tc>
          <w:tcPr>
            <w:tcW w:w="8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58" w:lineRule="exact"/>
        <w:rPr>
          <w:sz w:val="20"/>
          <w:szCs w:val="20"/>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equity method investments of $1,075 and $1,081 as of March 31, 2025 and December 31, 2024,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Westlake Chemical Partners LP</w:t>
      </w:r>
    </w:p>
    <w:p>
      <w:pPr>
        <w:spacing w:after="0" w:line="108"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In 2014, the Company formed Westlake Chemical Partners LP ("Westlake Partners") to operate, acquire and develop ethylene production facilities and related assets. Also in 2014, Westlake Partners completed its initial public offering of 12,937,500 common units.</w:t>
      </w:r>
    </w:p>
    <w:p>
      <w:pPr>
        <w:spacing w:after="0" w:line="108"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As of March 31, 2025, Westlake Partners had a 22.8% limited partner interest in Westlake Chemical OpCo LP ("OpCo"), and the Company retained a 77.2% limited partner interest in OpCo and a significant interest in Westlake Partners through the Company's ownership of Westlake Partners' general partner, 40.1% of the limited partner interests (consisting of 14,122,230 common units) and incentive distribution rights.</w:t>
      </w:r>
    </w:p>
    <w:p>
      <w:pPr>
        <w:spacing w:after="0" w:line="122"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On October 4, 2018, Westlake Partners and Westlake Chemical Partners GP LLC, the general partner of Westlake Partners, entered into an Equity Distribution Agreement with UBS Securities LLC, Barclays Capital Inc., Citigroup Global Markets Inc., Deutsche Bank Securities Inc., RBC Capital Markets, LLC, Merrill Lynch, Pierce, Fenner &amp; Smith Incorporated and Wells Fargo Securities, LLC to offer and sell Westlake Partners' common units, from time to time, up to an aggregate offering amount of $50. This Equity Distribution Agreement was amended on February 28, 2020 to reference a new shelf registration and subsequent renewals thereof for utilization under this agreement. No common units were issued under this program as of March 31, 2025.</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This discussion and analysis should be read in conjunction with information contained in the accompanying unaudited consolidated interim financial statements of Westlake Corporation and the notes thereto and the consolidated financial statements and notes thereto of Westlake Corporation included in Westlake Corporation's Annual Report on Form 10-K for the fiscal year ended December 31, 2024 (the "2024 Form 10-K"). Unless otherwise indicated, references in this report to "we," "our," "us" or like terms refer to Westlake Corporation ("Westlake" or the "Company"). The following discussion contains forward-looking statements. Please read "Forward-Looking Statements" for a discussion of limitations inherent in such statements.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 xml:space="preserve">We are a vertically integrated global manufacturer and marketer of performance and essential materials and housing and infrastructure products. We operate in two principal operating segments, Performance and Essential Materials and Housing and Infrastructure Products. The Performance and Essential Materials segment includes Westlake North American Vinyls, Westlake North American Chlor-alkali &amp; Derivatives, Westlake European &amp; Asian Chlorovinyls, Westlake Olefins, Westlake Polyethylene and Westlake Epoxy. The Housing and Infrastructure Products segment includes Westlake Royal Building Products, Westlake Pipe &amp; Fittings, Westlake Global Compounds and Westlake Dimex. We are highly integrated along our materials chain with significant downstream integration from ethylene and chlor-alkali (chlorine and caustic soda) into vinyls, polyethylene, epoxy and styrene monomer. We also have substantial downstream integration from polyvinyl chloride </w:t>
      </w:r>
      <w:r>
        <w:rPr>
          <w:rFonts w:ascii="Arial" w:cs="Arial" w:eastAsia="Arial" w:hAnsi="Arial"/>
          <w:sz w:val="18"/>
          <w:szCs w:val="18"/>
          <w:color w:val="auto"/>
        </w:rPr>
        <w:t>("</w:t>
      </w:r>
      <w:r>
        <w:rPr>
          <w:rFonts w:ascii="Times New Roman" w:cs="Times New Roman" w:eastAsia="Times New Roman" w:hAnsi="Times New Roman"/>
          <w:sz w:val="18"/>
          <w:szCs w:val="18"/>
          <w:color w:val="auto"/>
        </w:rPr>
        <w:t>PVC") into our building products, PVC pipes and fittings and PVC compounds in our Housing and Infrastructure Products segment.</w:t>
      </w:r>
    </w:p>
    <w:p>
      <w:pPr>
        <w:spacing w:after="0" w:line="137"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Since 2022, our European and North American businesses have been impacted by reduced demand and lower prices due to macroeconomic conditions such as the war in Ukraine, volatility in energy prices, slower GDP growth, inflation and higher interest rates. Furthermore, the lower-than-expected demand for performance and essential materials in Asia amid capacity build-up over the years have also impacted most of our product prices and demand in Europe and North America. In the near term, we expect that the uncertainty in import tariff regimes and trading relationships across the world, volatility in energy prices, inflation and other macroeconomic conditions will continue to impact margins and demand for most of our products.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Tariffs and Trading Relationships</w:t>
      </w:r>
    </w:p>
    <w:p>
      <w:pPr>
        <w:spacing w:after="0" w:line="10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April 2025, the U.S. government announced a baseline tariff of 10% on products imported from all countries and an additional individualized reciprocal tariff on the countries with which the United States has the largest trade deficits, including China. Increased tariffs by the United States have led and may continue to lead to the imposition of retaliatory tariffs by foreign jurisdictions. Additionally, the U.S. government has announced and rescinded multiple tariffs on several foreign jurisdictions, which has increased uncertainty regarding the ultimate effect of the tariffs on economic conditions. Current uncertainties about tariffs and their effects on trading relationships may affect the costs for and availability of raw materials or contribute to inflation in the markets in which we operate. Although we are continuing to monitor the economic effects of such announcements, as well as opportunities to mitigate their related impacts, costs and other effects associated with the tariffs remain uncertain.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Antidumping and Countervailing Duty Investigations</w:t>
      </w:r>
    </w:p>
    <w:p>
      <w:pPr>
        <w:spacing w:after="0" w:line="10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April 2024, the U.S. Epoxy Resin Producers Ad Hoc Coalition (the "Coalition"), of which we are a member, filed petitions with the U.S. Department of Commerce and the U.S. International Trade Commission requesting the initiation of antidumping investigations regarding imports of certain epoxy resins from China, India, South Korea, Taiwan, and Thailand and countervailing duty investigations regarding imports of the same products from China, India, South Korea, and Taiwan. The U.S. Department of Commerce made its final determinations in March 2025. The U.S. International Trade Commission concluded its investigation in April 2025. In May 2025, the U.S. Department of Commerce is expected to impose antidumping and countervailing duty orders on imports of epoxy resins from South Korea and Taiwan and an antidumping order on imports of epoxy resins from Thailand.</w:t>
      </w:r>
    </w:p>
    <w:p>
      <w:pPr>
        <w:spacing w:after="0" w:line="133"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In June 2024, the Coalition confidentially lodged an antidumping complaint with the European Commission requesting the initiation of an antidumping investigation concerning imports of epoxy resins into the European Union market originating in China, South Korea, Taiwan and Thailand. In July 2024, the European Commission published in the EU Official Journal a notice initiating an antidumping investigation concerning imports of epoxy resins originating in China, South Korea, Taiwan, and Thailand. In October 2024, the European Commission published a regulation requiring registration of imports subject to the investigation. The European Commission imposed provisional duties in late February 2025 and is expected to conclude the investigation by late August 2025.</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and Outlook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Essential Materials</w:t>
      </w:r>
    </w:p>
    <w:p>
      <w:pPr>
        <w:spacing w:after="0" w:line="108"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Our performance and essential materials such as ethylene, PVC, polyethylene, epoxy and caustic soda are some of the most widely used materials in the world and are upgraded into a wide variety of higher value-added products used in many end-markets. Westlake is the second-largest chlor-alkali producer and the second-largest PVC producer in the world, which makes Westlake a leading global chlorovinyls producer. Our performance and essential materials are used by customers in PVC pipe applications; housing and construction products; food and specialty packaging; industrial and consumer packaging; renewable wind energy; coatings; consumer durables; medical health applications; and mobility and transportation. Chlor-alkali and petrochemicals are typically manufactured globally in large volume by a number of different producers using widely available technologies. The chlor-alkali and petrochemical industries exhibit cyclical commodity characteristics, and margins are influenced by changes in the balance between global supply and demand and the resulting operating rates, the level of general economic activity and the price of raw materials. Due to the significant size of new plants, capacity additions are built in large increments and typically require several years of demand growth to be absorbed. The cycle is generally characterized by periods of tight supply, leading to high operating rates and margins, followed by a decline in operating rates and margins primarily as a result of excess new capacity additions. Westlake is a leading supplier of liquid and solid epoxy resins that are used in a wide variety of industrial coating applications. We are also one of the leading producers of epoxy specialty resins, modifiers and curing agents in Europe, the United States and Asia with a global reach to our end markets. Epoxy resins are the fundamental component of many types of materials and are often used in the automotive, construction, wind energy, aerospace and electronics industries due to their superior adhesion, strength and durability.</w:t>
      </w:r>
    </w:p>
    <w:p>
      <w:pPr>
        <w:spacing w:after="0" w:line="143"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Since 2022, we have continued to experience lower prices and weak demand for most of our performance and essential materials products globally. The ongoing conflict between Russia and Ukraine since Russia's invasion of Ukraine in 2022, the conflict in the Middle East, slow economic growth in China and Europe, increases in bisphenol-A, epichlorohydrin and base epoxy resin exports out of Asia into European and North American markets, disruption of trade flows due to enactment of duties and tariffs and related uncertainties, overcapacity in all the regions of PVC resin, polyethylene, chlor-alkali and epoxy , and volatility in natural gas, electricity and crude oil prices could have a continuing negative impact on the performance of Performance and Essential Materials businesses.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Housing and Infrastructure Products</w:t>
      </w:r>
    </w:p>
    <w:p>
      <w:pPr>
        <w:spacing w:after="0" w:line="9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Our Housing and Infrastructure Products segment is primarily comprised of residential building products, PVC pipes and fittings and PVC compound products. Our sales are affected by new home constructions and home repair and remodeling as well as the decisions of distributors and dealers on the levels of inventory they carry, their views on product demand, their financial condition and the manner in which they choose to manage inventory risk. A significant portion of our performance in this segment is driven by the activities in the residential construction and repair and remodeling markets in North America, which began to decline at the end of the second quarter of 2022 primarily due to the negative effect that rising mortgage rates in the United States had on buyer sentiment. Since the beginning of 2024, with the stabilization of interest rates and the possibility of further interest rate cuts by the U.S. Federal Reserve in the near term, we have seen improvement in the demand for housing products. Performance of our housing and infrastructure products businesses over time are generally reflective of the trends of building permits and housing starts in the New Residential Construction Survey by the U.S. Census Bureau and the Repair and Remodeling Index (RRI) provided by the National Association of Home Builders (the "NAHB") among others. Although we ultimately expect that the Infrastructure Investment and Jobs Act of 2021 and historically low residential housing construction that has resulted in an undersupply of existing housing may have a favorable long-term impact on our Housing and Infrastructure Products segment, the current inflationary environment impacting consumer spending and priorities and decade-high mortgage interest rates impacting consumer affordability are expected to have an unfavorable impact on the demand for housing construction in the near term and, as a result, our products produced by this segment.</w:t>
      </w:r>
    </w:p>
    <w:p>
      <w:pPr>
        <w:spacing w:after="0" w:line="133"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Factors that have caused volatility in our raw material prices, energy costs and other production costs in the past, and which may do so in the future, include significant fluctuation in prices of these raw materials in response to, among other things, variable worldwide supply and demand across different industries, speculation in commodities futures, general economic, business or environmental conditions, labor costs, competition, import duties impacting our cross-border trades within North America, enactment of tariffs and related uncertainties, worldwide currency fluctuations, freight, inflationary pressures, regulatory costs, and product and process evolutions that impact demand for the same materials. Increasing raw material prices directly impact our cost of sales and our ability to maintain margins depends on implementing price increases in response to increasing raw material costs. The market for our products may or may not accept price increases, and as such, our future financial condition, results of operations or cash flows could be materially impacted.</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4"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The body of accounting principles generally accepted in the United States is commonly referred to as "GAAP." For this purpose, a non-GAAP financial measure is generally defined by the Securities and Exchange Commission ("SEC") as one that purports to measure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In this report, we disclose non-GAAP financial measures, primarily earnings before interest, taxes, depreciation and amortization ("EBITDA") and Free Cash Flow. We define EBITDA as net income before interest expense, income taxes, depreciation and amortization. We define Free Cash Flow as net cash provided by operating activities less additions to property, plant and equipment. The non-GAAP financial measures described in this Form 10-Q are not substitutes for the GAAP measures of earnings and cash flows.</w:t>
      </w:r>
    </w:p>
    <w:p>
      <w:pPr>
        <w:spacing w:after="0" w:line="140"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EBITDA is included in this Form 10-Q because our management considers it an important supplemental measure of our performance and believes that it is frequently used by securities analysts, investors and other interested parties in the evaluation of companies in our industry, some of which present EBITDA when reporting their results. We regularly evaluate our performance as compared to other companies in our industry that have different financing and capital structures and/or tax rates by using EBITDA. In addition, we utilize EBITDA in evaluating acquisition targets. Management also believes that EBITDA is a useful tool for measuring our ability to meet our future debt service and satisfy capital expenditure and working capital requirements, and EBITDA is commonly used by us and our investors to measure our ability to service indebtedness.</w:t>
      </w:r>
    </w:p>
    <w:p>
      <w:pPr>
        <w:spacing w:after="0" w:line="133"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Free Cash Flow is included in this Form 10-Q because our management considers it an important supplemental measure of our performance and believes that it is frequently used by securities analysts, investors and other interested parties in the evaluation of companies in our industry, some of which present Free Cash Flow when reporting their results. We regularly evaluate our performance as compared to other companies in our industry that have different financing and capital structures and/or tax rates by using Free Cash Flow. Management also believes that Free Cash Flow is useful to investors and securities analysts to evaluate our liquidity, evaluate strategic investment, evaluate our stock buyback plan and measure our ability to meet our future debt service.</w:t>
      </w:r>
    </w:p>
    <w:p>
      <w:pPr>
        <w:spacing w:after="0" w:line="133" w:lineRule="exact"/>
        <w:rPr>
          <w:sz w:val="20"/>
          <w:szCs w:val="20"/>
          <w:color w:val="auto"/>
        </w:rPr>
      </w:pPr>
    </w:p>
    <w:p>
      <w:pPr>
        <w:jc w:val="both"/>
        <w:ind w:right="60" w:firstLine="405"/>
        <w:spacing w:after="0" w:line="272" w:lineRule="auto"/>
        <w:rPr>
          <w:sz w:val="20"/>
          <w:szCs w:val="20"/>
          <w:color w:val="auto"/>
        </w:rPr>
      </w:pPr>
      <w:r>
        <w:rPr>
          <w:rFonts w:ascii="Times New Roman" w:cs="Times New Roman" w:eastAsia="Times New Roman" w:hAnsi="Times New Roman"/>
          <w:sz w:val="17"/>
          <w:szCs w:val="17"/>
          <w:color w:val="auto"/>
        </w:rPr>
        <w:t>EBITDA and Free Cash Flow are not substitutes for the GAAP measures of net income, income from operations and net cash provided by operating activities and are not necessarily measures of our ability to fund our cash needs. In addition, companies calculate EBITDA and Free Cash Flow differently and, therefore, EBITDA and Free Cash Flow as presented for us may not be comparable to EBITDA and Free Cash Flow reported by other companies.</w:t>
      </w:r>
    </w:p>
    <w:p>
      <w:pPr>
        <w:spacing w:after="0" w:line="2"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EBITDA has material limitations as a performance measure because it excludes interest expense, depreciation and amortization and income taxes. Free Cash Flow has material limitations as a performance measure because it only considers net cash provided by operating activities, and not net income or income from operations. For instance, it applies the entire cost of capital expenditure in the period in which the property or equipment is acquired, rather than spreading it over several periods as is the case with net income and income from operations.</w:t>
      </w:r>
    </w:p>
    <w:p>
      <w:pPr>
        <w:spacing w:after="0" w:line="135"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Reconciliations of EBITDA to net income, income from operations and net cash provided by operating activities, and Free Cash Flow to net cash provided by operating activities are included in the "Results of Operations" section below.</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Data</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and descriptions that follow represent the consolidated results of operations of the Company for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2024.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External Sales</w:t>
      </w:r>
    </w:p>
    <w:p>
      <w:pPr>
        <w:spacing w:after="0" w:line="9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table below presents net external sales on a disaggregated basis for our two principal operating segments. Performance Materials net external sales primarily consist of sales of PVC, polyethylene and epoxy. Essential Materials net external sales primarily consist of sales of caustic soda, chlorine, styrene, and related derivative materials. Housing Products net external sales primarily consist of sales of housing exterior and interior products, residential pipes and fittings and residential products utilizing PVC compounds. Infrastructure Products net external sales primarily consist of sales of infrastructure related pipes and fittings and infrastructure products utilizing PVC compounds.</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r>
      <w:tr>
        <w:trPr>
          <w:trHeight w:val="23"/>
        </w:trPr>
        <w:tc>
          <w:tcPr>
            <w:tcW w:w="8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0"/>
        </w:trPr>
        <w:tc>
          <w:tcPr>
            <w:tcW w:w="82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r>
      <w:tr>
        <w:trPr>
          <w:trHeight w:val="219"/>
        </w:trPr>
        <w:tc>
          <w:tcPr>
            <w:tcW w:w="8220" w:type="dxa"/>
            <w:vAlign w:val="bottom"/>
          </w:tcPr>
          <w:p>
            <w:pPr>
              <w:spacing w:after="0"/>
              <w:rPr>
                <w:sz w:val="19"/>
                <w:szCs w:val="19"/>
                <w:color w:val="auto"/>
              </w:rPr>
            </w:pPr>
          </w:p>
        </w:tc>
        <w:tc>
          <w:tcPr>
            <w:tcW w:w="2960" w:type="dxa"/>
            <w:vAlign w:val="bottom"/>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data)</w:t>
            </w:r>
          </w:p>
        </w:tc>
      </w:tr>
      <w:tr>
        <w:trPr>
          <w:trHeight w:val="2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external sales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9"/>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Performance Materials</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1,164</w:t>
            </w:r>
          </w:p>
        </w:tc>
      </w:tr>
      <w:tr>
        <w:trPr>
          <w:trHeight w:val="230"/>
        </w:trPr>
        <w:tc>
          <w:tcPr>
            <w:tcW w:w="8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Essential Materials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23"/>
        </w:trPr>
        <w:tc>
          <w:tcPr>
            <w:tcW w:w="8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Performance and Essential Materials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1,931</w:t>
            </w:r>
          </w:p>
        </w:tc>
      </w:tr>
      <w:tr>
        <w:trPr>
          <w:trHeight w:val="21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29"/>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Housing Products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r>
      <w:tr>
        <w:trPr>
          <w:trHeight w:val="229"/>
        </w:trPr>
        <w:tc>
          <w:tcPr>
            <w:tcW w:w="8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Infrastructure Products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3"/>
        </w:trPr>
        <w:tc>
          <w:tcPr>
            <w:tcW w:w="8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Housing and Infrastructure Products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1,044</w:t>
            </w:r>
          </w:p>
        </w:tc>
      </w:tr>
      <w:tr>
        <w:trPr>
          <w:trHeight w:val="223"/>
        </w:trPr>
        <w:tc>
          <w:tcPr>
            <w:tcW w:w="8220" w:type="dxa"/>
            <w:vAlign w:val="bottom"/>
          </w:tcPr>
          <w:p>
            <w:pPr>
              <w:spacing w:after="0"/>
              <w:rPr>
                <w:sz w:val="19"/>
                <w:szCs w:val="19"/>
                <w:color w:val="auto"/>
              </w:rPr>
            </w:pPr>
          </w:p>
        </w:tc>
        <w:tc>
          <w:tcPr>
            <w:tcW w:w="9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2,975</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24"/>
        </w:trPr>
        <w:tc>
          <w:tcPr>
            <w:tcW w:w="8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income (loss) from operations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Westlake Corporation</w:t>
            </w:r>
          </w:p>
        </w:tc>
        <w:tc>
          <w:tcPr>
            <w:tcW w:w="9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48"/>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2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3"/>
                <w:szCs w:val="23"/>
                <w:color w:val="auto"/>
                <w:vertAlign w:val="superscript"/>
              </w:rPr>
              <w:t>(1)</w:t>
            </w:r>
          </w:p>
        </w:tc>
        <w:tc>
          <w:tcPr>
            <w:tcW w:w="900" w:type="dxa"/>
            <w:vAlign w:val="bottom"/>
            <w:tcBorders>
              <w:bottom w:val="single" w:sz="8" w:color="auto"/>
            </w:tcBorders>
          </w:tcPr>
          <w:p>
            <w:pPr>
              <w:jc w:val="right"/>
              <w:ind w:right="715"/>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17"/>
                <w:szCs w:val="17"/>
                <w:color w:val="auto"/>
              </w:rPr>
            </w:pPr>
          </w:p>
        </w:tc>
        <w:tc>
          <w:tcPr>
            <w:tcW w:w="940" w:type="dxa"/>
            <w:vAlign w:val="bottom"/>
            <w:tcBorders>
              <w:bottom w:val="single" w:sz="8" w:color="auto"/>
            </w:tcBorders>
          </w:tcPr>
          <w:p>
            <w:pPr>
              <w:jc w:val="right"/>
              <w:ind w:right="75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546</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48"/>
        </w:trPr>
        <w:tc>
          <w:tcPr>
            <w:tcW w:w="8220" w:type="dxa"/>
            <w:vAlign w:val="bottom"/>
            <w:tcBorders>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Free Cash Flow </w:t>
            </w:r>
            <w:r>
              <w:rPr>
                <w:rFonts w:ascii="Times New Roman" w:cs="Times New Roman" w:eastAsia="Times New Roman" w:hAnsi="Times New Roman"/>
                <w:sz w:val="23"/>
                <w:szCs w:val="23"/>
                <w:color w:val="auto"/>
                <w:vertAlign w:val="superscript"/>
              </w:rPr>
              <w:t>(2)</w:t>
            </w: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90" w:lineRule="exact"/>
        <w:rPr>
          <w:sz w:val="20"/>
          <w:szCs w:val="20"/>
          <w:color w:val="auto"/>
        </w:rPr>
      </w:pPr>
    </w:p>
    <w:p>
      <w:pPr>
        <w:ind w:left="500" w:right="40" w:hanging="492"/>
        <w:spacing w:after="0" w:line="281" w:lineRule="auto"/>
        <w:tabs>
          <w:tab w:leader="none" w:pos="49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above for discussions on non-GAAP financial measures. See "Reconciliation of EBITDA to Net Income, Income from Operations and Net Cash Provided by Operating Activities" below.</w:t>
      </w:r>
    </w:p>
    <w:p>
      <w:pPr>
        <w:spacing w:after="0" w:line="1" w:lineRule="exact"/>
        <w:rPr>
          <w:rFonts w:ascii="Times New Roman" w:cs="Times New Roman" w:eastAsia="Times New Roman" w:hAnsi="Times New Roman"/>
          <w:sz w:val="18"/>
          <w:szCs w:val="18"/>
          <w:color w:val="auto"/>
        </w:rPr>
      </w:pPr>
    </w:p>
    <w:p>
      <w:pPr>
        <w:ind w:left="500" w:right="100" w:hanging="492"/>
        <w:spacing w:after="0" w:line="282" w:lineRule="auto"/>
        <w:tabs>
          <w:tab w:leader="none" w:pos="49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above for discussions on non-GAAP financial measures. See "Reconciliation of Free Cash Flow to Net Cash Provided by Operating Activities" below.</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Net sales percentage change from prior-year period due to average sales price and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-118110</wp:posOffset>
            </wp:positionV>
            <wp:extent cx="7106285"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Performance and Essential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Housing and Infrastructure Products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Company average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33655</wp:posOffset>
            </wp:positionV>
            <wp:extent cx="2040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w w:val="94"/>
              </w:rPr>
              <w:t>Volume</w:t>
            </w:r>
          </w:p>
        </w:tc>
        <w:tc>
          <w:tcPr>
            <w:tcW w:w="0" w:type="dxa"/>
            <w:vAlign w:val="bottom"/>
          </w:tcPr>
          <w:p>
            <w:pPr>
              <w:spacing w:after="0"/>
              <w:rPr>
                <w:sz w:val="1"/>
                <w:szCs w:val="1"/>
                <w:color w:val="auto"/>
              </w:rPr>
            </w:pPr>
          </w:p>
        </w:tc>
      </w:tr>
      <w:tr>
        <w:trPr>
          <w:trHeight w:val="190"/>
        </w:trPr>
        <w:tc>
          <w:tcPr>
            <w:tcW w:w="1220" w:type="dxa"/>
            <w:vAlign w:val="bottom"/>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tbl>
      <w:tblPr>
        <w:tblLayout w:type="fixed"/>
        <w:tblInd w:w="740" w:type="dxa"/>
        <w:tblCellMar>
          <w:top w:w="0" w:type="dxa"/>
          <w:left w:w="0" w:type="dxa"/>
          <w:bottom w:w="0" w:type="dxa"/>
          <w:right w:w="0" w:type="dxa"/>
        </w:tblCellMar>
      </w:tblPr>
      <w:tr>
        <w:trPr>
          <w:trHeight w:val="230"/>
        </w:trPr>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8"/>
              </w:rPr>
              <w:t>-2 %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4"/>
        </w:trPr>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8"/>
              </w:rPr>
              <w:t>-3 %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57"/>
        </w:trPr>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8"/>
              </w:rPr>
              <w:t>-2 %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bl>
    <w:p>
      <w:pPr>
        <w:spacing w:after="0" w:line="200" w:lineRule="exact"/>
        <w:rPr>
          <w:sz w:val="20"/>
          <w:szCs w:val="20"/>
          <w:color w:val="auto"/>
        </w:rPr>
      </w:pPr>
    </w:p>
    <w:p>
      <w:pPr>
        <w:spacing w:after="0" w:line="248" w:lineRule="exact"/>
        <w:rPr>
          <w:sz w:val="20"/>
          <w:szCs w:val="20"/>
          <w:color w:val="auto"/>
        </w:rPr>
      </w:pPr>
    </w:p>
    <w:p>
      <w:pPr>
        <w:jc w:val="center"/>
        <w:ind w:left="-839"/>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9"/>
        <w:spacing w:after="0"/>
        <w:rPr>
          <w:sz w:val="20"/>
          <w:szCs w:val="20"/>
          <w:color w:val="auto"/>
        </w:rPr>
      </w:pPr>
      <w:r>
        <w:rPr>
          <w:rFonts w:ascii="Times New Roman" w:cs="Times New Roman" w:eastAsia="Times New Roman" w:hAnsi="Times New Roman"/>
          <w:sz w:val="14"/>
          <w:szCs w:val="14"/>
          <w:b w:val="1"/>
          <w:bCs w:val="1"/>
          <w:color w:val="auto"/>
        </w:rPr>
        <w:t>March 31, 2025</w:t>
      </w:r>
    </w:p>
    <w:p>
      <w:pPr>
        <w:spacing w:after="0" w:line="11" w:lineRule="exact"/>
        <w:rPr>
          <w:sz w:val="20"/>
          <w:szCs w:val="20"/>
          <w:color w:val="auto"/>
        </w:rPr>
      </w:pPr>
    </w:p>
    <w:p>
      <w:pPr>
        <w:sectPr>
          <w:pgSz w:w="11900" w:h="16838" w:orient="portrait"/>
          <w:cols w:equalWidth="0" w:num="2">
            <w:col w:w="7720" w:space="720"/>
            <w:col w:w="2800"/>
          </w:cols>
          <w:pgMar w:left="320" w:top="118" w:right="339" w:bottom="1440" w:gutter="0" w:footer="0" w:header="0"/>
        </w:sectPr>
      </w:pPr>
    </w:p>
    <w:tbl>
      <w:tblPr>
        <w:tblLayout w:type="fixed"/>
        <w:tblInd w:w="40" w:type="dxa"/>
        <w:tblCellMar>
          <w:top w:w="0" w:type="dxa"/>
          <w:left w:w="0" w:type="dxa"/>
          <w:bottom w:w="0" w:type="dxa"/>
          <w:right w:w="0" w:type="dxa"/>
        </w:tblCellMar>
      </w:tblPr>
      <w:tr>
        <w:trPr>
          <w:trHeight w:val="219"/>
        </w:trPr>
        <w:tc>
          <w:tcPr>
            <w:tcW w:w="9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US prices percentage change from prior-year period for fuel cost and feedstock</w:t>
            </w:r>
          </w:p>
        </w:tc>
        <w:tc>
          <w:tcPr>
            <w:tcW w:w="1580" w:type="dxa"/>
            <w:vAlign w:val="bottom"/>
            <w:tcBorders>
              <w:top w:val="single" w:sz="8" w:color="auto"/>
            </w:tcBorders>
            <w:shd w:val="clear" w:color="auto" w:fill="CCEEFF"/>
          </w:tcPr>
          <w:p>
            <w:pPr>
              <w:spacing w:after="0"/>
              <w:rPr>
                <w:sz w:val="19"/>
                <w:szCs w:val="19"/>
                <w:color w:val="auto"/>
              </w:rPr>
            </w:pP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cost (Natural Gas)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(Ethane)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to Net Income, Income from Operations and Net Cash Provided by Operating Activities</w:t>
      </w:r>
    </w:p>
    <w:p>
      <w:pPr>
        <w:spacing w:after="0" w:line="94"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reconciliation of EBITDA to net income, income from operations and net cash provided by operating activities, the most directly comparable GAAP financial measures, for each of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9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r>
      <w:tr>
        <w:trPr>
          <w:trHeight w:val="219"/>
        </w:trPr>
        <w:tc>
          <w:tcPr>
            <w:tcW w:w="8260" w:type="dxa"/>
            <w:vAlign w:val="bottom"/>
          </w:tcPr>
          <w:p>
            <w:pPr>
              <w:spacing w:after="0"/>
              <w:rPr>
                <w:sz w:val="19"/>
                <w:szCs w:val="19"/>
                <w:color w:val="auto"/>
              </w:rPr>
            </w:pPr>
          </w:p>
        </w:tc>
        <w:tc>
          <w:tcPr>
            <w:tcW w:w="2560" w:type="dxa"/>
            <w:vAlign w:val="bottom"/>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420" w:type="dxa"/>
            <w:vAlign w:val="bottom"/>
          </w:tcPr>
          <w:p>
            <w:pPr>
              <w:spacing w:after="0"/>
              <w:rPr>
                <w:sz w:val="19"/>
                <w:szCs w:val="19"/>
                <w:color w:val="auto"/>
              </w:rPr>
            </w:pPr>
          </w:p>
        </w:tc>
      </w:tr>
      <w:tr>
        <w:trPr>
          <w:trHeight w:val="23"/>
        </w:trPr>
        <w:tc>
          <w:tcPr>
            <w:tcW w:w="8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operating activities</w:t>
            </w:r>
          </w:p>
        </w:tc>
        <w:tc>
          <w:tcPr>
            <w:tcW w:w="98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980" w:type="dxa"/>
            <w:vAlign w:val="bottom"/>
            <w:tcBorders>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Free Cash Flow to Net Cash Provided by Operating Activities</w:t>
      </w:r>
    </w:p>
    <w:p>
      <w:pPr>
        <w:spacing w:after="0" w:line="108"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reconciliation of Free Cash Flow to net cash provided by operating activities, the most directly comparable GAAP financial measure, for each of the periods indicated.</w:t>
      </w: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Net cash provided by (used for)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-120650</wp:posOffset>
            </wp:positionV>
            <wp:extent cx="7106285"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Additions to property, plant and equipment</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Free cash flow</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9"/>
        </w:trPr>
        <w:tc>
          <w:tcPr>
            <w:tcW w:w="320" w:type="dxa"/>
            <w:vAlign w:val="bottom"/>
          </w:tcPr>
          <w:p>
            <w:pPr>
              <w:spacing w:after="0"/>
              <w:rPr>
                <w:sz w:val="19"/>
                <w:szCs w:val="19"/>
                <w:color w:val="auto"/>
              </w:rPr>
            </w:pPr>
          </w:p>
        </w:tc>
        <w:tc>
          <w:tcPr>
            <w:tcW w:w="264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r>
      <w:tr>
        <w:trPr>
          <w:trHeight w:val="253"/>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center"/>
              <w:ind w:left="595"/>
              <w:spacing w:after="0"/>
              <w:rPr>
                <w:sz w:val="20"/>
                <w:szCs w:val="20"/>
                <w:color w:val="auto"/>
              </w:rPr>
            </w:pPr>
            <w:r>
              <w:rPr>
                <w:rFonts w:ascii="Times New Roman" w:cs="Times New Roman" w:eastAsia="Times New Roman" w:hAnsi="Times New Roman"/>
                <w:sz w:val="18"/>
                <w:szCs w:val="18"/>
                <w:color w:val="auto"/>
                <w:w w:val="96"/>
              </w:rPr>
              <w:t>169</w:t>
            </w:r>
          </w:p>
        </w:tc>
      </w:tr>
      <w:tr>
        <w:trPr>
          <w:trHeight w:val="459"/>
        </w:trPr>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left="595"/>
              <w:spacing w:after="0"/>
              <w:rPr>
                <w:sz w:val="20"/>
                <w:szCs w:val="20"/>
                <w:color w:val="auto"/>
              </w:rPr>
            </w:pPr>
            <w:r>
              <w:rPr>
                <w:rFonts w:ascii="Times New Roman" w:cs="Times New Roman" w:eastAsia="Times New Roman" w:hAnsi="Times New Roman"/>
                <w:sz w:val="18"/>
                <w:szCs w:val="18"/>
                <w:color w:val="auto"/>
                <w:w w:val="96"/>
              </w:rPr>
              <w:t>272</w:t>
            </w: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center"/>
              <w:ind w:left="575"/>
              <w:spacing w:after="0"/>
              <w:rPr>
                <w:sz w:val="20"/>
                <w:szCs w:val="20"/>
                <w:color w:val="auto"/>
              </w:rPr>
            </w:pPr>
            <w:r>
              <w:rPr>
                <w:rFonts w:ascii="Times New Roman" w:cs="Times New Roman" w:eastAsia="Times New Roman" w:hAnsi="Times New Roman"/>
                <w:sz w:val="18"/>
                <w:szCs w:val="18"/>
                <w:color w:val="auto"/>
              </w:rPr>
              <w:t>(103)</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40" w:space="720"/>
            <w:col w:w="2980"/>
          </w:cols>
          <w:pgMar w:left="320" w:top="118" w:right="33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94" w:lineRule="exact"/>
        <w:rPr>
          <w:sz w:val="20"/>
          <w:szCs w:val="20"/>
          <w:color w:val="auto"/>
        </w:rPr>
      </w:pPr>
    </w:p>
    <w:p>
      <w:pPr>
        <w:ind w:right="100" w:firstLine="405"/>
        <w:spacing w:after="0" w:line="253" w:lineRule="auto"/>
        <w:rPr>
          <w:sz w:val="20"/>
          <w:szCs w:val="20"/>
          <w:color w:val="auto"/>
        </w:rPr>
      </w:pPr>
      <w:r>
        <w:rPr>
          <w:rFonts w:ascii="Times New Roman" w:cs="Times New Roman" w:eastAsia="Times New Roman" w:hAnsi="Times New Roman"/>
          <w:sz w:val="18"/>
          <w:szCs w:val="18"/>
          <w:color w:val="auto"/>
        </w:rPr>
        <w:t>For the quarter ended March 31, 2025, Westlake Corporation incurred a net loss of $40 million, or $(0.31) per diluted share, on net sales of $2,846 million. This represents a decrease in net income attributable to Westlake Corporation of $214 million, or $1.65 per diluted share, compared to the quarter ended March 31, 2024 net income attributable to Westlake Corporation of $174 million, or $1.34 per diluted share, on net sales of $2,975 million. Loss from operations was $32 million for the quarter ended March 31, 2025, as compared to income of $223 million for the quarter ended March 31, 2024, a decrease of $255 million in income from operations. The decrease in net income and income from operations was primarily due to lower sales prices for many of our products across both segments, including PVC resin, chlorine and pipe and fittings, lower sales volumes for polyethylene and PVC resin and higher energy and feedstock costs. The lower sales prices and demand resulted from weak global industrial and manufacturing activity. These decreases were slightly offset by higher caustic soda sales volumes. Net sales decreased by $129 million to $2,846 million in the quarter ended March 31, 2025 from $2,975 million in the quarter ended March 31, 2024, primarily due to lower sales prices for PVC resin, chlorine and pipe and fittings and lower sales volumes for polyethylene and PVC resin, which were partially offset by higher caustic soda volumes.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2025 Compared with First Quarter 2024</w:t>
      </w:r>
    </w:p>
    <w:p>
      <w:pPr>
        <w:spacing w:after="0" w:line="92"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by $129 million, or 4%, to $2,846 million in the first quarter of 2025 from $2,975 million in the first quarter of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sales prices for the first quarter of 2025 decreased by 2% as compared to the first quarter of 2024 as a result of lower sales prices for many of our products across both segments, including PVC resin, chlorine and pipe and fittings. Sales volumes decreased by 2% in the first quarter of 2025 as compared to the first quarter of 2024, due to lower sales volumes for polyethylene and PVC resin, which were partially offset by higher caustic soda volumes.</w:t>
      </w:r>
    </w:p>
    <w:p>
      <w:pPr>
        <w:spacing w:after="0" w:line="126" w:lineRule="exact"/>
        <w:rPr>
          <w:sz w:val="20"/>
          <w:szCs w:val="20"/>
          <w:color w:val="auto"/>
        </w:rPr>
      </w:pPr>
    </w:p>
    <w:p>
      <w:pPr>
        <w:ind w:right="36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margin was 8% in the first quarter of 2025 as compared to 16% in the first quarter of 2024. The decrease in gross profit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was primarily due to lower sales prices for most of our products across both segments and higher energy and feedstock costs.</w:t>
      </w:r>
    </w:p>
    <w:p>
      <w:pPr>
        <w:spacing w:after="0" w:line="104" w:lineRule="exact"/>
        <w:rPr>
          <w:sz w:val="20"/>
          <w:szCs w:val="20"/>
          <w:color w:val="auto"/>
        </w:rPr>
      </w:pPr>
    </w:p>
    <w:p>
      <w:pPr>
        <w:ind w:right="46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increased by $18 million to $227 million in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2025 from $209 million in the first quarter of 2024. This increase was mainly due to higher allowance for credit losses, legal and other consulting costs, and technology related expenses.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Amortization of Intangibles. </w:t>
      </w:r>
      <w:r>
        <w:rPr>
          <w:rFonts w:ascii="Times New Roman" w:cs="Times New Roman" w:eastAsia="Times New Roman" w:hAnsi="Times New Roman"/>
          <w:sz w:val="18"/>
          <w:szCs w:val="18"/>
          <w:color w:val="auto"/>
        </w:rPr>
        <w:t>Amortization expense in the first quarter of 2025 was consistent with the first quarter of 2024.</w:t>
      </w:r>
    </w:p>
    <w:p>
      <w:pPr>
        <w:spacing w:after="0" w:line="171" w:lineRule="exact"/>
        <w:rPr>
          <w:sz w:val="20"/>
          <w:szCs w:val="20"/>
          <w:color w:val="auto"/>
        </w:rPr>
      </w:pPr>
    </w:p>
    <w:p>
      <w:pPr>
        <w:ind w:right="16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Restructuring, Transaction and Integration-related Costs</w:t>
      </w:r>
      <w:r>
        <w:rPr>
          <w:rFonts w:ascii="Times New Roman" w:cs="Times New Roman" w:eastAsia="Times New Roman" w:hAnsi="Times New Roman"/>
          <w:sz w:val="18"/>
          <w:szCs w:val="18"/>
          <w:color w:val="auto"/>
        </w:rPr>
        <w:t>. Restructuring, transaction and integration-related costs were $7 million in the first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2025 compared to $4 million in the first quarter of 2024. The first quarter of 2025 and 2024 costs primarily represent mothballing and plant closure related costs.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in the first quarter of 2025 was comparable to the first quarter of 2024.</w:t>
      </w:r>
    </w:p>
    <w:p>
      <w:pPr>
        <w:spacing w:after="0" w:line="171" w:lineRule="exact"/>
        <w:rPr>
          <w:sz w:val="20"/>
          <w:szCs w:val="20"/>
          <w:color w:val="auto"/>
        </w:rPr>
      </w:pPr>
    </w:p>
    <w:p>
      <w:pPr>
        <w:ind w:right="8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decreased by $13 million to $37 million in the first quarter of 2025 from $50 million in the first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primarily due to lower interest income resulting from the lower average cash and cash equivalent balances and lower interest rates in the first quarter of 2025 as compared to the first quarter of 2024.</w:t>
      </w:r>
    </w:p>
    <w:p>
      <w:pPr>
        <w:spacing w:after="0" w:line="119" w:lineRule="exact"/>
        <w:rPr>
          <w:sz w:val="20"/>
          <w:szCs w:val="20"/>
          <w:color w:val="auto"/>
        </w:rPr>
      </w:pPr>
    </w:p>
    <w:p>
      <w:pPr>
        <w:jc w:val="both"/>
        <w:ind w:right="6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effective income tax rate was (2.9)% for the first quarter of 2025 as compared to 20.6% for the first quarter of 2024. The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rate in the first quarter of 2025 was lower compared to the first quarter of 2024 primarily due to an increase in the valuation allowance recorded against Westlake Epoxy Netherlands's net operating loss for which no tax benefit can be recognized associated with the pre-tax loss in the first quarter of 2025.</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Essential Materials Segment</w:t>
      </w:r>
    </w:p>
    <w:p>
      <w:pPr>
        <w:spacing w:after="0" w:line="92"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the Performance and Essential Materials segment decreased by $81 million, or 4%, to $1,850 million in the first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from $1,931 million in the first quarter of 2024. Average sales prices for the Performance and Essential Materials segment decreased by 2% in the first quarter of 2025 as compared to the first quarter of 2024. Lower Performance Materials sales prices were primarily due to lower PVC resin and epoxy resin sales prices. Lower Essential Materials sales prices were primarily due to lower chlorine sales prices. Sales volumes for the Performance and Essential Materials segment decreased by 2% in the first quarter of 2025 as compared to the first quarter of 2024, primarily due to lower PVC resin and polyethylene sales volumes.</w:t>
      </w:r>
    </w:p>
    <w:p>
      <w:pPr>
        <w:spacing w:after="0" w:line="128" w:lineRule="exact"/>
        <w:rPr>
          <w:sz w:val="20"/>
          <w:szCs w:val="20"/>
          <w:color w:val="auto"/>
        </w:rPr>
      </w:pPr>
    </w:p>
    <w:p>
      <w:pPr>
        <w:ind w:right="22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Income from operations for the Performance and Essential Materials segment decreased by $185 million to a loss of $163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first quarter of 2025 from income of $22 million in the first quarter of 2024. This decrease in income from operations in the first quarter of 2025, as compared to the first quarter of 2024, was primarily due to lower sales prices for most of our major products in this segment, particularly PVC resin, chlorine and epoxy resin, lower sales volumes for PVC resin and polyethylene, impact of Petro 1 turnaround activities and higher North American natural gas and feedstock costs, driven in part by winter storms early in the quarter. These decreases were partially offset by higher sales volumes for caustic soda.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Housing and Infrastructure Products Segment</w:t>
      </w:r>
    </w:p>
    <w:p>
      <w:pPr>
        <w:spacing w:after="0" w:line="106"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the Housing and Infrastructure Products segment decreased by $48 million, or 5%, to $996 million in the first quarter of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$1,044 million in the first quarter of 2024. Average sales prices for the Housing and Infrastructure Products segment decreased by 3% in the first quarter of 2025 as compared to the first quarter of 2024, primarily due to lower sales prices for pipe and fittings and siding and trim. Sales volumes for the Housing and Infrastructure Products segment decreased by 2% in the first quarter of 2025 as compared to the first quarter of 2024 primarily due to lower demand for pipe and fittings and siding and trim.</w:t>
      </w:r>
    </w:p>
    <w:p>
      <w:pPr>
        <w:spacing w:after="0" w:line="12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from Operations. </w:t>
      </w:r>
      <w:r>
        <w:rPr>
          <w:rFonts w:ascii="Times New Roman" w:cs="Times New Roman" w:eastAsia="Times New Roman" w:hAnsi="Times New Roman"/>
          <w:sz w:val="18"/>
          <w:szCs w:val="18"/>
          <w:color w:val="auto"/>
        </w:rPr>
        <w:t>Income from operations for the Housing and Infrastructure Products segment decreased by $62 million to $148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quarter of 2025 from $210 million in the first quarter of 2024. This decrease in income from operations in the first quarter of 2025, as compared to the first quarter of 2024, was primarily due to lower sales price and margins, due to an unfavorable shift in sales mix, and lower sales volume, particularly in pipe and fittings, partly due to winter storms early in the quarter.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DISCUSSION FOR THE THREE MONTHS ENDED MARCH 31, 2025 AND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4" w:lineRule="exact"/>
        <w:rPr>
          <w:sz w:val="20"/>
          <w:szCs w:val="20"/>
          <w:color w:val="auto"/>
        </w:rPr>
      </w:pPr>
    </w:p>
    <w:p>
      <w:pPr>
        <w:ind w:right="160" w:firstLine="405"/>
        <w:spacing w:after="0" w:line="254" w:lineRule="auto"/>
        <w:rPr>
          <w:sz w:val="20"/>
          <w:szCs w:val="20"/>
          <w:color w:val="auto"/>
        </w:rPr>
      </w:pPr>
      <w:r>
        <w:rPr>
          <w:rFonts w:ascii="Times New Roman" w:cs="Times New Roman" w:eastAsia="Times New Roman" w:hAnsi="Times New Roman"/>
          <w:sz w:val="18"/>
          <w:szCs w:val="18"/>
          <w:color w:val="auto"/>
        </w:rPr>
        <w:t>Operating activities used cash of $77 million in the first three months of 2025 compared to cash provided by operating activities of $169 million in the first three months of 2024. The $246 million decrease in cash flows from operating activities was mainly due to lower prices and demand for most of our products, cash used in connection with the turnaround of Petro 1 ethylene facility in Lake Charles and a favorable change in working capital in the three months ended March 31, 2025. Changes in components of working capital, which we define for purposes of this cash flow discussion as accounts receivable, inventories, prepaid expenses and other current assets, less accounts payable and accrued and other liabilities, used cash of $135 million in the first three months of 2025, compared to $177 million of cash used in the first three months of 2024, a favorable change of $42 million. The favorable change in the first three months of 2025 was substantially driven by the higher accounts payable and accrued and other liabilities due to the impact of the Petro 1 turnaround activities and the timing of related payments in the first three months of 2025 and also due to higher feedstock and energy purchase costs during the three months ended March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Net cash used for investing activities in the first three months of 2025 was $434 million as compared to net cash used for investing activities of $272 million in the first three months of 2024. The increase in cash used for investing activities in the first three months of 2025 as compared to the first three months of 2024 was primarily related to the 2025 purchase of $183 million of investments comprising corporate bonds and U.S. government debt securities, among others. Capital expenditures were $248 million in the first three months of 2025 as compared to $272 million in the first three months of 2024. Capital expenditures in the first three months of 2025 and 2024 were primarily related to projects to increase production capacity or reduce costs, maintenance and safety projects and environmental projects at our various facilities.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94"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Net cash used for financing activities during the first three months of 2025 was $115 million as compared to net cash used for financing activities of $74 million in the first three months of 2024. The financing activities during the first three months of 2025 included the payment of $68 million of cash dividends, the repurchase of $30 million of our outstanding common stock for treasury and $10 million of cash distributions to noncontrolling interests. The financing activities in the first three months of 2024 included the payment of $65 million of cash dividends and $10 million of cash distributions to noncontrolling interests.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Financing Arrangements</w:t>
      </w:r>
    </w:p>
    <w:p>
      <w:pPr>
        <w:spacing w:after="0" w:line="94"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from cash and cash equivalents, available-for-sale securities, cash from operations, short-term borrowings under our credit agreement and our long-term financing.</w:t>
      </w:r>
    </w:p>
    <w:p>
      <w:pPr>
        <w:spacing w:after="0" w:line="10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 November 2014, our Board of Directors authorized a $250 million stock repurchase program (the "2014 Program"). In November 2015, our Board of Directors approved the expansion of the 2014 Program by an additional $150 million. In August 2018, our Board of Directors approved the further expansion of the existing 2014 Program by an additional $150 million. In August 2022, our Board of Directors approved the further expansion of the existing 2014 Program by an additional $500 million. During the three months ended March 31, 2025, we repurchased 279,771 shares of common stock for an aggregate purchase price of $30 million under the 2014 Program. As of March 31, 2025, we had repurchased 9,482,402 shares of our common stock for an aggregate purchase price of approximately $664 million under the 2014 Program. Purchases under the 2014 Program may be made either through the open market or in privately negotiated transactions. Decisions regarding the amount and the timing of purchases under the 2014 Program will be influenced by our cash on hand, our cash flows from operations, general market conditions and other factors. The 2014 Program may be discontinued by our Board of Directors at any time.</w:t>
      </w:r>
    </w:p>
    <w:p>
      <w:pPr>
        <w:spacing w:after="0" w:line="13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On October 4, 2018, Westlake Chemical Partners LP ("Westlake Partners") and Westlake Chemical Partners GP LLC, the general partner of Westlake Partners, entered into an Equity Distribution Agreement with UBS Securities LLC, Barclays Capital Inc., Citigroup Global Markets Inc., Deutsche Bank Securities Inc., RBC Capital Markets, LLC, Merrill Lynch, Pierce, Fenner &amp; Smith Incorporated and Wells Fargo Securities, LLC to offer and sell Westlake Partners common units, from time to time, up to an aggregate offering amount of $50 million. This Equity Distribution Agreement was amended on February 28, 2020 to reference a new shelf registration and subsequent renewals thereof for utilization under this agreement. No common units have been issued under this program as of March 31, 2025.</w:t>
      </w:r>
    </w:p>
    <w:p>
      <w:pPr>
        <w:spacing w:after="0" w:line="133"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We believe that our sources of liquidity as described above are adequate to fund our normal operations and ongoing capital expenditures and turnaround activities. We commenced the planned maintenance turnaround at our Petro 1 ethylene facility in the first quarter of 2025, which concluded in April 2025. Funding of any potential large expansions such as our recent acquisitions or potential future acquisitions or the redemption of debt may likely necessitate, and therefore depend on, our ability to obtain additional financing in the future. We may not be able to access additional liquidity at favorable interest rates due to volatility of the commercial credit markets.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Available-For-Sale Securities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2025, our cash and cash equivalents totaled $2,297 million.</w:t>
      </w:r>
    </w:p>
    <w:p>
      <w:pPr>
        <w:spacing w:after="0" w:line="171"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As of March 31, 2025, our available-for-sale securities totaled $183 million. See Note 2 to the unaudited consolidated financial statements appearing elsewhere in this Form 10-Q for a discussion of our available-for-sale securities.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addition to our cash and cash equivalents, our credit agreement is available to provide liquidity as needed, as described under "Debt"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08"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As of March 31, 2025, the carrying value of our indebtedness totaled $4,592 million. See Note 7 to the unaudited consolidated financial statements appearing elsewhere in this Form 10-Q for a discussion of our long-term indebtedness.</w:t>
      </w:r>
    </w:p>
    <w:p>
      <w:pPr>
        <w:spacing w:after="0" w:line="10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Our ability to make payments on our indebtedness and to fund planned capital expenditures will depend on our ability to generate cash in the future, which is subject to general economic, financial, competitive, legislative, regulatory and other factors that are beyond our control. Based on our current level of operations and unless we were to undertake a new expansion or large acquisition, we believe our cash flows from operations, available cash and available borrowings under our credit agreement will be adequate to meet our normal operating needs for the foreseeable future.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long-term debt consisted of the following as of March 31,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Optional</w:t>
            </w:r>
          </w:p>
        </w:tc>
        <w:tc>
          <w:tcPr>
            <w:tcW w:w="0" w:type="dxa"/>
            <w:vAlign w:val="bottom"/>
          </w:tcPr>
          <w:p>
            <w:pPr>
              <w:spacing w:after="0"/>
              <w:rPr>
                <w:sz w:val="1"/>
                <w:szCs w:val="1"/>
                <w:color w:val="auto"/>
              </w:rPr>
            </w:pPr>
          </w:p>
        </w:tc>
      </w:tr>
      <w:tr>
        <w:trPr>
          <w:trHeight w:val="146"/>
        </w:trPr>
        <w:tc>
          <w:tcPr>
            <w:tcW w:w="3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94"/>
              <w:spacing w:after="0" w:line="146"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37"/>
        </w:trPr>
        <w:tc>
          <w:tcPr>
            <w:tcW w:w="3640" w:type="dxa"/>
            <w:vAlign w:val="bottom"/>
          </w:tcPr>
          <w:p>
            <w:pPr>
              <w:spacing w:after="0"/>
              <w:rPr>
                <w:sz w:val="11"/>
                <w:szCs w:val="11"/>
                <w:color w:val="auto"/>
              </w:rPr>
            </w:pPr>
          </w:p>
        </w:tc>
        <w:tc>
          <w:tcPr>
            <w:tcW w:w="104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(in millions of</w:t>
            </w:r>
          </w:p>
        </w:tc>
        <w:tc>
          <w:tcPr>
            <w:tcW w:w="100" w:type="dxa"/>
            <w:vAlign w:val="bottom"/>
          </w:tcPr>
          <w:p>
            <w:pPr>
              <w:spacing w:after="0"/>
              <w:rPr>
                <w:sz w:val="11"/>
                <w:szCs w:val="11"/>
                <w:color w:val="auto"/>
              </w:rPr>
            </w:pPr>
          </w:p>
        </w:tc>
        <w:tc>
          <w:tcPr>
            <w:tcW w:w="17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Debt Issuance Date</w:t>
            </w:r>
          </w:p>
        </w:tc>
        <w:tc>
          <w:tcPr>
            <w:tcW w:w="17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9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Par Call Date</w:t>
            </w:r>
          </w:p>
        </w:tc>
        <w:tc>
          <w:tcPr>
            <w:tcW w:w="10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Terms and</w:t>
            </w: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0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 Matters</w:t>
            </w:r>
          </w:p>
        </w:tc>
        <w:tc>
          <w:tcPr>
            <w:tcW w:w="0" w:type="dxa"/>
            <w:vAlign w:val="bottom"/>
          </w:tcPr>
          <w:p>
            <w:pPr>
              <w:spacing w:after="0"/>
              <w:rPr>
                <w:sz w:val="1"/>
                <w:szCs w:val="1"/>
                <w:color w:val="auto"/>
              </w:rPr>
            </w:pPr>
          </w:p>
        </w:tc>
      </w:tr>
      <w:tr>
        <w:trPr>
          <w:trHeight w:val="23"/>
        </w:trPr>
        <w:tc>
          <w:tcPr>
            <w:tcW w:w="3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6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3.60% senior notes due 2026 (the "3.60% 2026</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Notes")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August 2016</w:t>
            </w:r>
          </w:p>
        </w:tc>
        <w:tc>
          <w:tcPr>
            <w:tcW w:w="17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August 2026</w:t>
            </w:r>
          </w:p>
        </w:tc>
        <w:tc>
          <w:tcPr>
            <w:tcW w:w="19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May 15, 2026</w:t>
            </w:r>
          </w:p>
        </w:tc>
        <w:tc>
          <w:tcPr>
            <w:tcW w:w="106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98"/>
              </w:rPr>
              <w:t>(1) (4)</w:t>
            </w:r>
          </w:p>
        </w:tc>
        <w:tc>
          <w:tcPr>
            <w:tcW w:w="0" w:type="dxa"/>
            <w:vAlign w:val="bottom"/>
          </w:tcPr>
          <w:p>
            <w:pPr>
              <w:spacing w:after="0"/>
              <w:rPr>
                <w:sz w:val="1"/>
                <w:szCs w:val="1"/>
                <w:color w:val="auto"/>
              </w:rPr>
            </w:pPr>
          </w:p>
        </w:tc>
      </w:tr>
      <w:tr>
        <w:trPr>
          <w:trHeight w:val="176"/>
        </w:trPr>
        <w:tc>
          <w:tcPr>
            <w:tcW w:w="3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Loan related to tax-exempt waste disposal</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bonds due 2027</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December 1997</w:t>
            </w: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December 2027</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1.625% €700 million senior notes due 2029 (the</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"1.625% 2029 Senior Notes")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July 2019</w:t>
            </w:r>
          </w:p>
        </w:tc>
        <w:tc>
          <w:tcPr>
            <w:tcW w:w="17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July 2029</w:t>
            </w:r>
          </w:p>
        </w:tc>
        <w:tc>
          <w:tcPr>
            <w:tcW w:w="19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April 17, 2029</w:t>
            </w:r>
          </w:p>
        </w:tc>
        <w:tc>
          <w:tcPr>
            <w:tcW w:w="106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98"/>
              </w:rPr>
              <w:t>(1) (2)</w:t>
            </w:r>
          </w:p>
        </w:tc>
        <w:tc>
          <w:tcPr>
            <w:tcW w:w="0" w:type="dxa"/>
            <w:vAlign w:val="bottom"/>
          </w:tcPr>
          <w:p>
            <w:pPr>
              <w:spacing w:after="0"/>
              <w:rPr>
                <w:sz w:val="1"/>
                <w:szCs w:val="1"/>
                <w:color w:val="auto"/>
              </w:rPr>
            </w:pPr>
          </w:p>
        </w:tc>
      </w:tr>
      <w:tr>
        <w:trPr>
          <w:trHeight w:val="175"/>
        </w:trPr>
        <w:tc>
          <w:tcPr>
            <w:tcW w:w="3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3.375% senior notes due 2030 (the "3.375%</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2030 Senior Notes")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June 2020</w:t>
            </w: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June 2030</w:t>
            </w: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March 15, 2030</w:t>
            </w:r>
          </w:p>
        </w:tc>
        <w:tc>
          <w:tcPr>
            <w:tcW w:w="106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8"/>
              </w:rPr>
              <w:t>(1) (3)</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3.50% senior notes due 2032 (the "3.50% 2032</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4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tax-exempt GO Zone Refunding Senior</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November 2017</w:t>
            </w:r>
          </w:p>
        </w:tc>
        <w:tc>
          <w:tcPr>
            <w:tcW w:w="17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November 2032</w:t>
            </w:r>
          </w:p>
        </w:tc>
        <w:tc>
          <w:tcPr>
            <w:tcW w:w="19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November 1, 2027</w:t>
            </w:r>
          </w:p>
        </w:tc>
        <w:tc>
          <w:tcPr>
            <w:tcW w:w="106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75"/>
        </w:trPr>
        <w:tc>
          <w:tcPr>
            <w:tcW w:w="3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2.875% senior notes due 2041 (the "2.875%</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2041 Senior Notes")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1"/>
                <w:szCs w:val="21"/>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August 2021</w:t>
            </w: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August 2041</w:t>
            </w: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15, 2041</w:t>
            </w:r>
          </w:p>
        </w:tc>
        <w:tc>
          <w:tcPr>
            <w:tcW w:w="106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8"/>
              </w:rPr>
              <w:t>(1) (3)</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5.00% senior notes due 2046 (the "5.00% 2046</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Notes")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August 2016</w:t>
            </w:r>
          </w:p>
        </w:tc>
        <w:tc>
          <w:tcPr>
            <w:tcW w:w="17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August 2046</w:t>
            </w:r>
          </w:p>
        </w:tc>
        <w:tc>
          <w:tcPr>
            <w:tcW w:w="19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15, 2046</w:t>
            </w:r>
          </w:p>
        </w:tc>
        <w:tc>
          <w:tcPr>
            <w:tcW w:w="106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98"/>
              </w:rPr>
              <w:t>(1) (4)</w:t>
            </w:r>
          </w:p>
        </w:tc>
        <w:tc>
          <w:tcPr>
            <w:tcW w:w="0" w:type="dxa"/>
            <w:vAlign w:val="bottom"/>
          </w:tcPr>
          <w:p>
            <w:pPr>
              <w:spacing w:after="0"/>
              <w:rPr>
                <w:sz w:val="1"/>
                <w:szCs w:val="1"/>
                <w:color w:val="auto"/>
              </w:rPr>
            </w:pPr>
          </w:p>
        </w:tc>
      </w:tr>
      <w:tr>
        <w:trPr>
          <w:trHeight w:val="175"/>
        </w:trPr>
        <w:tc>
          <w:tcPr>
            <w:tcW w:w="3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4.375% senior notes due 2047 (the "4.375%</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2047 Senior Notes")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November 2017</w:t>
            </w: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November 2047</w:t>
            </w: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May 15, 2047</w:t>
            </w:r>
          </w:p>
        </w:tc>
        <w:tc>
          <w:tcPr>
            <w:tcW w:w="106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8"/>
              </w:rPr>
              <w:t>(1) (3)</w:t>
            </w:r>
          </w:p>
        </w:tc>
        <w:tc>
          <w:tcPr>
            <w:tcW w:w="0" w:type="dxa"/>
            <w:vAlign w:val="bottom"/>
          </w:tcPr>
          <w:p>
            <w:pPr>
              <w:spacing w:after="0"/>
              <w:rPr>
                <w:sz w:val="1"/>
                <w:szCs w:val="1"/>
                <w:color w:val="auto"/>
              </w:rPr>
            </w:pPr>
          </w:p>
        </w:tc>
      </w:tr>
      <w:tr>
        <w:trPr>
          <w:trHeight w:val="176"/>
        </w:trPr>
        <w:tc>
          <w:tcPr>
            <w:tcW w:w="3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3.125% senior notes due 2051 (the "3.125%</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2051 Senior Notes")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August 2021</w:t>
            </w:r>
          </w:p>
        </w:tc>
        <w:tc>
          <w:tcPr>
            <w:tcW w:w="17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August 2051</w:t>
            </w:r>
          </w:p>
        </w:tc>
        <w:tc>
          <w:tcPr>
            <w:tcW w:w="19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15, 2051</w:t>
            </w:r>
          </w:p>
        </w:tc>
        <w:tc>
          <w:tcPr>
            <w:tcW w:w="106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98"/>
              </w:rPr>
              <w:t>(1) (3)</w:t>
            </w:r>
          </w:p>
        </w:tc>
        <w:tc>
          <w:tcPr>
            <w:tcW w:w="0" w:type="dxa"/>
            <w:vAlign w:val="bottom"/>
          </w:tcPr>
          <w:p>
            <w:pPr>
              <w:spacing w:after="0"/>
              <w:rPr>
                <w:sz w:val="1"/>
                <w:szCs w:val="1"/>
                <w:color w:val="auto"/>
              </w:rPr>
            </w:pPr>
          </w:p>
        </w:tc>
      </w:tr>
      <w:tr>
        <w:trPr>
          <w:trHeight w:val="176"/>
        </w:trPr>
        <w:tc>
          <w:tcPr>
            <w:tcW w:w="3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3.375% senior notes due 2061 (the "3.375%</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2061 Senior Notes")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August 2021</w:t>
            </w: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August 2061</w:t>
            </w: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15, 2061</w:t>
            </w:r>
          </w:p>
        </w:tc>
        <w:tc>
          <w:tcPr>
            <w:tcW w:w="106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8"/>
              </w:rPr>
              <w:t>(1) (3)</w:t>
            </w:r>
          </w:p>
        </w:tc>
        <w:tc>
          <w:tcPr>
            <w:tcW w:w="0" w:type="dxa"/>
            <w:vAlign w:val="bottom"/>
          </w:tcPr>
          <w:p>
            <w:pPr>
              <w:spacing w:after="0"/>
              <w:rPr>
                <w:sz w:val="1"/>
                <w:szCs w:val="1"/>
                <w:color w:val="auto"/>
              </w:rPr>
            </w:pPr>
          </w:p>
        </w:tc>
      </w:tr>
      <w:tr>
        <w:trPr>
          <w:trHeight w:val="32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2026 (the "2026 Term Loan")</w:t>
            </w:r>
          </w:p>
        </w:tc>
        <w:tc>
          <w:tcPr>
            <w:tcW w:w="1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4"/>
                <w:szCs w:val="24"/>
                <w:color w:val="auto"/>
              </w:rPr>
            </w:pPr>
          </w:p>
        </w:tc>
        <w:tc>
          <w:tcPr>
            <w:tcW w:w="1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8"/>
              </w:rPr>
              <w:t>March 2021</w:t>
            </w:r>
          </w:p>
        </w:tc>
        <w:tc>
          <w:tcPr>
            <w:tcW w:w="17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March 2026</w:t>
            </w:r>
          </w:p>
        </w:tc>
        <w:tc>
          <w:tcPr>
            <w:tcW w:w="1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90" w:lineRule="exact"/>
        <w:rPr>
          <w:sz w:val="20"/>
          <w:szCs w:val="20"/>
          <w:color w:val="auto"/>
        </w:rPr>
      </w:pPr>
    </w:p>
    <w:p>
      <w:pPr>
        <w:ind w:left="460" w:right="20" w:hanging="412"/>
        <w:spacing w:after="0" w:line="281" w:lineRule="auto"/>
        <w:tabs>
          <w:tab w:leader="none" w:pos="4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our option, we may redeem the notes at any time on or after the specified par call date at a redemption price equal to 100% of the principal amount of the notes being redeemed plus accrued and unpaid interest.</w:t>
      </w:r>
    </w:p>
    <w:p>
      <w:pPr>
        <w:spacing w:after="0" w:line="1" w:lineRule="exact"/>
        <w:rPr>
          <w:rFonts w:ascii="Times New Roman" w:cs="Times New Roman" w:eastAsia="Times New Roman" w:hAnsi="Times New Roman"/>
          <w:sz w:val="18"/>
          <w:szCs w:val="18"/>
          <w:color w:val="auto"/>
        </w:rPr>
      </w:pPr>
    </w:p>
    <w:p>
      <w:pPr>
        <w:ind w:left="460" w:right="280" w:hanging="412"/>
        <w:spacing w:after="0" w:line="258" w:lineRule="auto"/>
        <w:tabs>
          <w:tab w:leader="none" w:pos="4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our option, we may redeem the notes at any time prior to the specified par call date at a redemption price equal to the greater of (i) 100% of the principal amount of the notes being redeemed plus accrued and unpaid interest and (ii) the sum of the present values of the remaining scheduled payments on the notes being redeemed that would be due if the notes matured on the specified par call date (not including any portion of such payments of interest accrued as of the redemption date), discounted to the redemption date on an annual basis at the applicable comparable government bond rate plus 30 basis points plus accrued and unpaid interest.</w:t>
      </w:r>
    </w:p>
    <w:p>
      <w:pPr>
        <w:spacing w:after="0" w:line="21" w:lineRule="exact"/>
        <w:rPr>
          <w:rFonts w:ascii="Times New Roman" w:cs="Times New Roman" w:eastAsia="Times New Roman" w:hAnsi="Times New Roman"/>
          <w:sz w:val="18"/>
          <w:szCs w:val="18"/>
          <w:color w:val="auto"/>
        </w:rPr>
      </w:pPr>
    </w:p>
    <w:p>
      <w:pPr>
        <w:ind w:left="460" w:right="60" w:hanging="412"/>
        <w:spacing w:after="0" w:line="258" w:lineRule="auto"/>
        <w:tabs>
          <w:tab w:leader="none" w:pos="4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our option, we may redeem the notes at any time prior to the specified par call date at a redemption price equal to the greater of (i) 100% of the principal amount of the notes being redeemed plus accrued and unpaid interest and (ii) the sum of the present values of the remaining scheduled payments on the notes being redeemed that would be due if the notes matured on the specified par call date (excluding accrued and unpaid interest to the redemption date), discounted to the redemption date on a semi-annual basis at the treasury rate plus 20 to 40 basis points plus accrued and unpaid interest.</w:t>
      </w:r>
    </w:p>
    <w:p>
      <w:pPr>
        <w:spacing w:after="0" w:line="21" w:lineRule="exact"/>
        <w:rPr>
          <w:rFonts w:ascii="Times New Roman" w:cs="Times New Roman" w:eastAsia="Times New Roman" w:hAnsi="Times New Roman"/>
          <w:sz w:val="18"/>
          <w:szCs w:val="18"/>
          <w:color w:val="auto"/>
        </w:rPr>
      </w:pPr>
    </w:p>
    <w:p>
      <w:pPr>
        <w:ind w:left="460" w:right="120" w:hanging="412"/>
        <w:spacing w:after="0" w:line="261" w:lineRule="auto"/>
        <w:tabs>
          <w:tab w:leader="none" w:pos="4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our option, we may redeem the notes at any time prior to the specified par call date at a redemption price equal to the greater of (i) 100% of the principal amount of the notes being redeemed plus accrued and unpaid interest and (ii) the sum of the present values of the remaining scheduled payments on the notes being redeemed (excluding accrued and unpaid interest to the redemption date), discounted to the redemption date on a semi-annual basis at the treasury rate plus 35 to 45 basis points, plus accrued and unpaid interest.</w:t>
      </w:r>
    </w:p>
    <w:p>
      <w:pPr>
        <w:spacing w:after="0" w:line="17" w:lineRule="exact"/>
        <w:rPr>
          <w:rFonts w:ascii="Times New Roman" w:cs="Times New Roman" w:eastAsia="Times New Roman" w:hAnsi="Times New Roman"/>
          <w:sz w:val="18"/>
          <w:szCs w:val="18"/>
          <w:color w:val="auto"/>
        </w:rPr>
      </w:pPr>
    </w:p>
    <w:p>
      <w:pPr>
        <w:ind w:left="460" w:right="40" w:hanging="412"/>
        <w:spacing w:after="0" w:line="258" w:lineRule="auto"/>
        <w:tabs>
          <w:tab w:leader="none" w:pos="4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redemption of certain bonds (the "GO Zone Bonds") issued by the Louisiana Local Government Environmental Facility and Development Authority (the "Authority") in 2017, we will redeem notes equal in principal amount to the GO Zone Bonds to be redeemed at a redemption price equal to the redemption price of the GO Zone Bonds to be redeemed, plus accrued interest to the redemption date. The GO Zone Bonds are subject to optional redemption by the Authority upon the direction of the Company at any time on or after November 1, 2027, for 100% of the principal amount plus accrued interest to the redemption date.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60" w:right="40" w:hanging="412"/>
        <w:spacing w:after="0" w:line="266" w:lineRule="auto"/>
        <w:tabs>
          <w:tab w:leader="none" w:pos="44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waste disposal revenue bonds expire in December 2027 and are subject to redemption and mandatory tender for purchase prior to maturity under certain conditions. Interest on the waste disposal revenue bonds accrues at a rate determined by a remarketing agent and is payable quarterly. The interest rate on the waste disposal revenue bonds at March 31, 2025 was 3.00%.</w:t>
      </w:r>
    </w:p>
    <w:p>
      <w:pPr>
        <w:spacing w:after="0" w:line="13" w:lineRule="exact"/>
        <w:rPr>
          <w:rFonts w:ascii="Times New Roman" w:cs="Times New Roman" w:eastAsia="Times New Roman" w:hAnsi="Times New Roman"/>
          <w:sz w:val="18"/>
          <w:szCs w:val="18"/>
          <w:color w:val="auto"/>
        </w:rPr>
      </w:pPr>
    </w:p>
    <w:p>
      <w:pPr>
        <w:ind w:left="460" w:right="240" w:hanging="412"/>
        <w:spacing w:after="0" w:line="282" w:lineRule="auto"/>
        <w:tabs>
          <w:tab w:leader="none" w:pos="44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2026 Term Loan has a 5-year maturity and includes a government rate subsidy. The interest rate on the 2026 Term Loan as of March 31, 2025 was 1.08%.</w:t>
      </w:r>
    </w:p>
    <w:p>
      <w:pPr>
        <w:spacing w:after="0" w:line="108"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holders of the 3.60% 2026 Senior Notes, the 1.625% 2029 Senior Notes, the 3.375% 2030 Senior Notes, the 3.50% 2032 tax-exempt GO Zone Refunding Senior Notes, the 2.875% 2041 Senior Notes, the 5.00% 2046 Senior Notes, the 4.375% 2047 Senior Notes, the 3.125% 2051 Senior Notes and the 3.375% 2061 Senior Notes may require us to repurchase the notes at a price equal to 101% of their principal amount, plus accrued and unpaid interest to, but not including, the date of repurchase, upon the occurrence of both a "change of control" and, within 60 days of such change of control, a "below investment grade rating event" (as such terms are defined in the respective indentures governing these notes).</w:t>
      </w:r>
    </w:p>
    <w:p>
      <w:pPr>
        <w:spacing w:after="0" w:line="129"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The indenture governing the 3.60% 2026 Senior Notes, the 1.625% 2029 Senior Notes, the 3.375% 2030 Senior Notes, the 3.50% 2032 tax-exempt GO Zone Refunding Senior Notes, the 2.875% 2041 Senior Notes, the 5.00% 2046 Senior Notes, the 4.375% 2047 Senior Notes, the 3.125% 2051 Senior Notes, and the 3.375% 2061 Senior Notes contains customary events of default and covenants that, among other things and subject to certain exceptions, restrict us and certain of our subsidiaries' ability to (1) incur certain secured indebtedness, (2) engage in certain sale and leaseback transactions and (3) consolidate, merge or transfer all or substantially all of our assets.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2025, we were in compliance with all of our long-term debt covenants.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92"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On June 9, 2022, we entered into a new $1.5 billion revolving credit facility that is scheduled to mature on June 9, 2027 (the "Credit Agreement") and, in connection therewith, terminated our then existing revolving credit agreement. The Credit Agreement bears interest at either (a) Adjusted Term SOFR (as defined in the Credit Agreement) plus a margin ranging from 1.00% to 1.625% per annum or (b) Alternate Base Rate (as defined in the Credit Agreement) plus a margin ranging from 0.00% to 0.625% per annum, in each case depending on the credit rating of the Company. The Credit Agreement contains certain affirmative and negative covenants, including a quarterly total leverage ratio financial maintenance covenant. As of March 31, 2025, we were in compliance with the total leverage ratio financial maintenance covenant.</w:t>
      </w:r>
    </w:p>
    <w:p>
      <w:pPr>
        <w:spacing w:after="0" w:line="133"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Credit Agreement also contains certain events of default and, if and for so long as certain events of default have occurred and are continuing, any overdue amounts outstanding under the Credit Agreement will accrue interest at an increased rate, the lenders can terminate their commitments to lend thereunder and payments of any outstanding amounts thereunder could be accelerated by the lenders. None of our subsidiaries are required to guarantee our obligations under the Credit Agreement.</w:t>
      </w:r>
    </w:p>
    <w:p>
      <w:pPr>
        <w:spacing w:after="0" w:line="12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Credit Agreement includes a $150 million sub-limit for letters of credit, and any outstanding letters of credit will be deducted from availability under the facility. The Credit Agreement also provides for a discretionary $50 million commitment for swingline loans to be provided on a same-day basis. We may also increase the size of the facility, in increments of at least $25 million, up to a maximum of $500 million, subject to certain conditions and if certain lenders agree to commit to such an increase.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Westlake Chemical Partners LP Credit Arrangements</w:t>
      </w:r>
    </w:p>
    <w:p>
      <w:pPr>
        <w:spacing w:after="0" w:line="108" w:lineRule="exact"/>
        <w:rPr>
          <w:sz w:val="20"/>
          <w:szCs w:val="20"/>
          <w:color w:val="auto"/>
        </w:rPr>
      </w:pPr>
    </w:p>
    <w:p>
      <w:pPr>
        <w:ind w:right="80" w:firstLine="405"/>
        <w:spacing w:after="0" w:line="268" w:lineRule="auto"/>
        <w:rPr>
          <w:sz w:val="20"/>
          <w:szCs w:val="20"/>
          <w:color w:val="auto"/>
        </w:rPr>
      </w:pPr>
      <w:r>
        <w:rPr>
          <w:rFonts w:ascii="Times New Roman" w:cs="Times New Roman" w:eastAsia="Times New Roman" w:hAnsi="Times New Roman"/>
          <w:sz w:val="17"/>
          <w:szCs w:val="17"/>
          <w:color w:val="auto"/>
        </w:rPr>
        <w:t>Our subsidiary, Westlake Chemical Finance Corporation, is the lender party to a $600 million revolving credit facility with Westlake Chemical Partners LP ("Westlake Partners") (the "MLP Revolver") that is scheduled to mature on July 12, 2027. As of March 31, 2025, outstanding borrowings under the credit facility totaled $377 million and bore interest at Secured Overnight Financing Rate, as administered by the Federal Reserve Bank of New York ("SOFR") plus the Applicable Margin plus a 0.10% credit spread adjustment. On July 12, 2022, Westlake Partners entered into the Fourth Amendment (the "MLP Revolver Amendment") to the MLP Revolver. The MLP Revolver Amendment, among other things, extended the maturity date to July 12, 2027 and provided for the replacement of LIBOR with SOFR. Borrowings under the MLP Revolver now bear interest at a variable rate of either</w:t>
      </w:r>
    </w:p>
    <w:p>
      <w:pPr>
        <w:spacing w:after="0" w:line="5" w:lineRule="exact"/>
        <w:rPr>
          <w:sz w:val="20"/>
          <w:szCs w:val="20"/>
          <w:color w:val="auto"/>
        </w:rPr>
      </w:pPr>
    </w:p>
    <w:p>
      <w:pPr>
        <w:jc w:val="both"/>
        <w:ind w:right="580" w:firstLine="8"/>
        <w:spacing w:after="0" w:line="255" w:lineRule="auto"/>
        <w:tabs>
          <w:tab w:leader="none" w:pos="2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Our subsidiary, Westlake Polymers LLC, is the administrative agent to a $600 million revolving credit facility with Westlake Chemical OpCo LP ("OpCo") (the "OpCo Revolver") that is scheduled to mature on July 12, 2027. As of March 31, 2025, outstanding borrowings under the credit facility totaled $23 million and bore interest at SOFR plus the Applicable Margin of 1.75% plus a 0.10% credit spread adjustment. On July 12, 2022, OpCo entered into the Second Amendment (the "OpCo Revolver Amendment") to the OpCo Revolver. The OpCo Revolver Amendment, among other things, extended the maturity date to July 12, 2027 and provided for the replacement of LIBOR with SOFR. Borrowings under the OpCo Revolver now bear interest at a variable rate of either (a) SOFR plus the Applicable Margin plus a 0.10% credit spread adjustment or, if SOFR is no longer available, (b) the Alternate Base Rate plus the Applicable Margin minus 1.0%. The Applicable Margin under the OpCo Revolver is 1.75%.</w:t>
      </w:r>
    </w:p>
    <w:p>
      <w:pPr>
        <w:spacing w:after="0" w:line="135" w:lineRule="exact"/>
        <w:rPr>
          <w:sz w:val="20"/>
          <w:szCs w:val="20"/>
          <w:color w:val="auto"/>
        </w:rPr>
      </w:pPr>
    </w:p>
    <w:p>
      <w:pPr>
        <w:ind w:right="80" w:firstLine="405"/>
        <w:spacing w:after="0" w:line="312" w:lineRule="auto"/>
        <w:rPr>
          <w:sz w:val="20"/>
          <w:szCs w:val="20"/>
          <w:color w:val="auto"/>
        </w:rPr>
      </w:pPr>
      <w:r>
        <w:rPr>
          <w:rFonts w:ascii="Times New Roman" w:cs="Times New Roman" w:eastAsia="Times New Roman" w:hAnsi="Times New Roman"/>
          <w:sz w:val="17"/>
          <w:szCs w:val="17"/>
          <w:color w:val="auto"/>
        </w:rPr>
        <w:t>We consolidate Westlake Partners and OpCo for financial reporting purposes as we have a controlling financial interest. As such, the revolving credit facilities described above between our subsidiaries and Westlake Partners and OpCo are eliminated from the financial statements upon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08"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See Note 1 to the consolidated financial statements included in Item 1 of this Form 10-Q for a full description of recent accounting pronouncements, including expected date of adoption and estimated effect on results of operations and financial condition.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ind w:right="200" w:firstLine="405"/>
        <w:spacing w:after="0" w:line="274" w:lineRule="auto"/>
        <w:rPr>
          <w:sz w:val="20"/>
          <w:szCs w:val="20"/>
          <w:color w:val="auto"/>
        </w:rPr>
      </w:pPr>
      <w:r>
        <w:rPr>
          <w:rFonts w:ascii="Times New Roman" w:cs="Times New Roman" w:eastAsia="Times New Roman" w:hAnsi="Times New Roman"/>
          <w:sz w:val="17"/>
          <w:szCs w:val="17"/>
          <w:color w:val="auto"/>
        </w:rPr>
        <w:t>The Private Securities Litigation Reform Act of 1995 provides safe harbor provisions for forward-looking information. 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"expected"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51" w:lineRule="exact"/>
        <w:rPr>
          <w:sz w:val="20"/>
          <w:szCs w:val="20"/>
          <w:color w:val="auto"/>
        </w:rPr>
      </w:pPr>
    </w:p>
    <w:p>
      <w:pPr>
        <w:ind w:left="900" w:hanging="325"/>
        <w:spacing w:after="0" w:line="260" w:lineRule="auto"/>
        <w:tabs>
          <w:tab w:leader="none" w:pos="895"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the ultimate timing, outcome and results of integrating the operations of any acquisitions and the ultimate outcome of our operating efficiencies applied to the products and services; the effects of any such acquisition, including the combined company's future financial condition, results of operations, strategy and plans; and expected synergies and other benefits from any such acquisition and our ability to realize such synergies and other benefits;</w:t>
      </w:r>
    </w:p>
    <w:p>
      <w:pPr>
        <w:spacing w:after="0" w:line="6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operating rates, margins, cash flows and demand for our products;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market outlook, including the price of crude oil, natural gas, ethane, housing starts and repair and remodeling activity;</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outlook, including elevated interest rates, inflation and possible recession;</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outbreak of an illness or any other communicable disease, or any other public health crisis;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capacities;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ongoing conflicts in the Middle East and between Russia and Ukraine;</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devaluation;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under our credit agreement;</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liquidity needs;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debt obligations under our debt instruments;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quarterly dividends;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capacity additions and expansions in the industries in which we compete;</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funding and results of capital projects;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 obligations, funding requirements and investment policies;</w:t>
      </w:r>
    </w:p>
    <w:p>
      <w:pPr>
        <w:spacing w:after="0" w:line="103" w:lineRule="exact"/>
        <w:rPr>
          <w:rFonts w:ascii="Times New Roman" w:cs="Times New Roman" w:eastAsia="Times New Roman" w:hAnsi="Times New Roman"/>
          <w:sz w:val="18"/>
          <w:szCs w:val="18"/>
          <w:color w:val="auto"/>
        </w:rPr>
      </w:pPr>
    </w:p>
    <w:p>
      <w:pPr>
        <w:ind w:left="900" w:right="300" w:hanging="325"/>
        <w:spacing w:after="0" w:line="266"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4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of losses under our insurance policies;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pending legal proceedings and settlements;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and amount of capital expenditures;</w:t>
      </w:r>
    </w:p>
    <w:p>
      <w:pPr>
        <w:spacing w:after="0" w:line="90"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other effects of tariffs imposed by the U.S. government, and any effects on trading relationships among the United States and other countries; and</w:t>
      </w:r>
    </w:p>
    <w:p>
      <w:pPr>
        <w:spacing w:after="0" w:line="40"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mothballing of the AC and ECH Units (such as timing and amount of recognition of related costs, expectation of improvement of the financial performance of our Pernis, Netherlands site).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 have based these statements on assumptions and analyses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While it is not possible to identify all factors, we continue to face many risks and uncertainties. Among the factors that could cause actual future results to differ materially are the risks and uncertainties discussed under "Risk Factors" in the 2024 Form 10-K and those described from time to time in our other filings with the SEC including, but not limited to, the following:</w:t>
      </w:r>
    </w:p>
    <w:p>
      <w:pPr>
        <w:spacing w:after="0" w:line="66" w:lineRule="exact"/>
        <w:rPr>
          <w:sz w:val="20"/>
          <w:szCs w:val="20"/>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including inflation, interest rates and possible recession;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chemical and building products industries;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and volatility of raw materials and energy;</w:t>
      </w:r>
    </w:p>
    <w:p>
      <w:pPr>
        <w:spacing w:after="0" w:line="103" w:lineRule="exact"/>
        <w:rPr>
          <w:rFonts w:ascii="Times New Roman" w:cs="Times New Roman" w:eastAsia="Times New Roman" w:hAnsi="Times New Roman"/>
          <w:sz w:val="18"/>
          <w:szCs w:val="18"/>
          <w:color w:val="auto"/>
        </w:rPr>
      </w:pPr>
    </w:p>
    <w:p>
      <w:pPr>
        <w:ind w:left="900" w:right="220" w:hanging="325"/>
        <w:spacing w:after="0" w:line="282"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United States, European and worldwide economies, including those due to political tensions and conflict in the Middle East, Russia and Ukraine and elsewhere;</w:t>
      </w:r>
    </w:p>
    <w:p>
      <w:pPr>
        <w:spacing w:after="0" w:line="26"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pandemic infectious diseases;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climate change;</w:t>
      </w:r>
    </w:p>
    <w:p>
      <w:pPr>
        <w:spacing w:after="0" w:line="103"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demand for ethylene, polyethylene and polyvinyl chloride due to initiatives such as recycling and customers seeking alternatives to polymers;</w:t>
      </w:r>
    </w:p>
    <w:p>
      <w:pPr>
        <w:spacing w:after="0" w:line="26"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potential governmental regulatory actions in the United States and other countries;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production capacity and operating rates;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supply/demand balance for our products;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and pricing pressures;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credit and financial markets;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capital markets;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w:t>
      </w:r>
    </w:p>
    <w:p>
      <w:pPr>
        <w:spacing w:after="0" w:line="103" w:lineRule="exact"/>
        <w:rPr>
          <w:rFonts w:ascii="Times New Roman" w:cs="Times New Roman" w:eastAsia="Times New Roman" w:hAnsi="Times New Roman"/>
          <w:sz w:val="18"/>
          <w:szCs w:val="18"/>
          <w:color w:val="auto"/>
        </w:rPr>
      </w:pPr>
    </w:p>
    <w:p>
      <w:pPr>
        <w:ind w:left="900" w:right="660" w:hanging="325"/>
        <w:spacing w:after="0" w:line="282"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4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including trade policies and tariffs imposed on or by foreign jurisdictions;</w:t>
      </w:r>
    </w:p>
    <w:p>
      <w:pPr>
        <w:spacing w:after="0" w:line="90"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global trade, including as a result of tariffs, trade restrictions, retaliatory trade measures or the effect of such actions on trading relationships between the United States and other countries;</w:t>
      </w:r>
    </w:p>
    <w:p>
      <w:pPr>
        <w:spacing w:after="0" w:line="4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systems failures and cyberattacks;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risks;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creditworthiness of our customers.</w:t>
      </w:r>
    </w:p>
    <w:p>
      <w:pPr>
        <w:spacing w:after="0" w:line="17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Many of such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0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 substantial portion of our products and raw materials are commodities whose prices fluctuate as market supply and demand fundamentals change. Accordingly, product margins and the level of our profitability tend to fluctuate with changes in the business cycle. We try to protect against such instability through various business strategies. Our strategies include ethylene product feedstock flexibility and moving downstream into our other products where pricing is more stable. We use derivative instruments (including commodity swaps, futures, forwards and options) in certain instances to reduce price volatility risk on feedstocks and products. Based on our open derivative positions at March 31, 2025, a hypothetical $0.10 increase in the price of a gallon of ethane and a hypothetical $0.10 increase in the price of a million British thermal units of natural gas would not have a material impact on our income before 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are exposed to interest rate risk with respect to fixed and variable rate debt. At March 31, 2025, we had $4,658 million aggregate principal amount of fixed rate debt. We are subject to the risk of higher interest cost if and when this debt is refinanced. If interest rates were 1.0% higher at the time of refinancing, our annual interest expense would increase by approximately $47 million. Also, at March 31, 2025, we had $16 million principal amount of variable rate debt outstanding, which represents the term loans due 2026 and the tax-exempt waste disposal revenue bonds due 2027. We do not currently hedge our variable interest rate debt, but we may do so in the future. The weighted average variable interest rate for our variable rate debt of $16 million as of March 31, 2025 was 2.35%. A hypothetical 100 basis point increase in the average interest rate on our variable rate debt would not result in a material change in the interest expense.</w:t>
      </w:r>
    </w:p>
    <w:p>
      <w:pPr>
        <w:spacing w:after="0" w:line="13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Secured Overnight Financing Rate ("SOFR") is used as a reference rate for borrowings under our revolving line of credit. We did not have any SOFR-based borrowings outstanding at March 31,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08" w:lineRule="exact"/>
        <w:rPr>
          <w:sz w:val="20"/>
          <w:szCs w:val="20"/>
          <w:color w:val="auto"/>
        </w:rPr>
      </w:pPr>
    </w:p>
    <w:p>
      <w:pPr>
        <w:ind w:right="140" w:firstLine="405"/>
        <w:spacing w:after="0" w:line="253" w:lineRule="auto"/>
        <w:rPr>
          <w:sz w:val="20"/>
          <w:szCs w:val="20"/>
          <w:color w:val="auto"/>
        </w:rPr>
      </w:pPr>
      <w:r>
        <w:rPr>
          <w:rFonts w:ascii="Times New Roman" w:cs="Times New Roman" w:eastAsia="Times New Roman" w:hAnsi="Times New Roman"/>
          <w:sz w:val="18"/>
          <w:szCs w:val="18"/>
          <w:color w:val="auto"/>
        </w:rPr>
        <w:t>We are exposed to foreign currency exchange rate risk associated with our international operations. However, the effect of fluctuations in foreign currency exchange rates caused by our international operations has not had a material impact on our overall operating results. We may engage in activities to mitigate our exposure to foreign currency exchange risk in certain instances through the use of currency exchange derivative instruments, including forward exchange contracts, cross-currency swaps or spot purchases. A forward exchange contract obligates us to exchange predetermined amounts of specified currencies at a stated exchange rate on a stated date. A cross-currency swap obligates us to make periodic payments in the local currency and receive periodic payments in our functional currency based on the notional amount of the instrument. In January 2018, we entered into foreign exchange hedging contracts designated as net investment hedges with an aggregate notional value of €220 million designed to reduce the volatility in stockholders' equity from changes in currency exchange rates associated with our net investments in foreign operations. In July 2019, we terminated a portion of the foreign exchange hedging contract with a notional value of €70 million. The notional value of the remaining net investment hedges was €150 million at March 31, 2025. The arrangement is scheduled to settle in 2026.</w:t>
      </w:r>
    </w:p>
    <w:p>
      <w:pPr>
        <w:spacing w:after="0" w:line="140" w:lineRule="exact"/>
        <w:rPr>
          <w:sz w:val="20"/>
          <w:szCs w:val="20"/>
          <w:color w:val="auto"/>
        </w:rPr>
      </w:pPr>
    </w:p>
    <w:p>
      <w:pPr>
        <w:ind w:right="760" w:firstLine="405"/>
        <w:spacing w:after="0" w:line="266" w:lineRule="auto"/>
        <w:rPr>
          <w:sz w:val="20"/>
          <w:szCs w:val="20"/>
          <w:color w:val="auto"/>
        </w:rPr>
      </w:pPr>
      <w:r>
        <w:rPr>
          <w:rFonts w:ascii="Times New Roman" w:cs="Times New Roman" w:eastAsia="Times New Roman" w:hAnsi="Times New Roman"/>
          <w:sz w:val="18"/>
          <w:szCs w:val="18"/>
          <w:color w:val="auto"/>
        </w:rPr>
        <w:t>In July 2019, we completed the registered public offering of €700 million aggregate principal amount of the 1.625% 2029 Senior Notes. We designated this euro-denominated debt as a non-derivative net investment hedge of a portion of our net investments in euro functional-currency denominated subsidiaries to offset foreign currency fluctuations.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135"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March 31, 2025 that have materially affected, or are reasonably likely to materially affect, our internal control over financial reporting.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94"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The 2024 Form 10-K, filed on February 25, 2025, contained a description of various legal proceedings in which we are involved. See Note 13 to the unaudited consolidated financial statements within this Quarterly Report on Form 10-Q for an updated description of certain of those proceedings, which information is incorporated by reference herein.</w:t>
      </w:r>
    </w:p>
    <w:p>
      <w:pPr>
        <w:spacing w:after="0" w:line="122"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From time to time, we receive notices or inquiries from government entities regarding alleged violations of environmental laws and regulations pertaining to, among other things, the disposal, emission and storage of chemical substances, including hazardous wastes. For a description of certain environmental matters involving a governmental authority as a party to the proceedings and potential monetary sanctions that we believe could exceed $1 million (which is less than one percent of our current assets on a consolidated basis as of March 31, 2025), please see the 2024 Form 10-K and Note 13 to the unaudited consolidated financial statements within this Quarterly Report on Form 10-Q, in addition to the following:</w:t>
      </w:r>
    </w:p>
    <w:p>
      <w:pPr>
        <w:spacing w:after="0" w:line="100" w:lineRule="exact"/>
        <w:rPr>
          <w:sz w:val="20"/>
          <w:szCs w:val="20"/>
          <w:color w:val="auto"/>
        </w:rPr>
      </w:pPr>
    </w:p>
    <w:p>
      <w:pPr>
        <w:ind w:left="900" w:hanging="325"/>
        <w:spacing w:after="0" w:line="243" w:lineRule="auto"/>
        <w:tabs>
          <w:tab w:leader="none" w:pos="89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 xml:space="preserve">Natrium Facility Discharge Investigation. </w:t>
      </w:r>
      <w:r>
        <w:rPr>
          <w:rFonts w:ascii="Times New Roman" w:cs="Times New Roman" w:eastAsia="Times New Roman" w:hAnsi="Times New Roman"/>
          <w:sz w:val="18"/>
          <w:szCs w:val="18"/>
          <w:color w:val="auto"/>
        </w:rPr>
        <w:t>To resolve alleged violations associated with exceedances of discharge limits under the Natrium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facility's National Pollutant Discharge Elimination System ("NPDES") permit effective August 2020, we have entered into enforcement negotiations with the West Virginia Department of Environmental Protection ("WVDEP"). The resolution of this matter may involve a penalty in excess of $1 million.</w:t>
      </w:r>
    </w:p>
    <w:p>
      <w:pPr>
        <w:spacing w:after="0" w:line="143"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addition to the matters described above, we are also involved in other legal proceedings incidental to the conduct of our business. From time to time, we receive notices or inquiries from government entities regarding alleged violations of environmental laws and regulations pertaining to, among other things, the disposal, emission and storage of chemical substances, including hazardous wastes. We do not believe that any of these legal proceedings will have a material adverse effect on our financial condition, results of operations or cash flows.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For a discussion of risk factors, please read Item 1A, "Risk Factors" in the 2024 Form 10-K. The risks described in the report and in other documents that we file from time to time with the Securities and Exchange Commission could materially and adversely affect our business, results of operations, cash flow, liquidity or financial condition.</w:t>
      </w: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on our purchases of our common stock during the quarter ended March 31, 2025.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3"/>
            <w:vMerge w:val="restart"/>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60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1600" w:type="dxa"/>
            <w:vAlign w:val="bottom"/>
          </w:tcPr>
          <w:p>
            <w:pPr>
              <w:jc w:val="center"/>
              <w:ind w:right="83"/>
              <w:spacing w:after="0" w:line="146" w:lineRule="exact"/>
              <w:rPr>
                <w:sz w:val="20"/>
                <w:szCs w:val="20"/>
                <w:color w:val="auto"/>
              </w:rPr>
            </w:pPr>
            <w:r>
              <w:rPr>
                <w:rFonts w:ascii="Times New Roman" w:cs="Times New Roman" w:eastAsia="Times New Roman" w:hAnsi="Times New Roman"/>
                <w:sz w:val="14"/>
                <w:szCs w:val="14"/>
                <w:b w:val="1"/>
                <w:bCs w:val="1"/>
                <w:color w:val="auto"/>
              </w:rPr>
              <w:t>(or Approximate</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3"/>
          </w:tcPr>
          <w:p>
            <w:pPr>
              <w:jc w:val="center"/>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60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37"/>
        </w:trPr>
        <w:tc>
          <w:tcPr>
            <w:tcW w:w="3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040" w:type="dxa"/>
            <w:vAlign w:val="bottom"/>
            <w:gridSpan w:val="3"/>
          </w:tcPr>
          <w:p>
            <w:pPr>
              <w:jc w:val="center"/>
              <w:ind w:right="190"/>
              <w:spacing w:after="0" w:line="137" w:lineRule="exact"/>
              <w:rPr>
                <w:sz w:val="20"/>
                <w:szCs w:val="20"/>
                <w:color w:val="auto"/>
              </w:rPr>
            </w:pPr>
            <w:r>
              <w:rPr>
                <w:rFonts w:ascii="Times New Roman" w:cs="Times New Roman" w:eastAsia="Times New Roman" w:hAnsi="Times New Roman"/>
                <w:sz w:val="14"/>
                <w:szCs w:val="14"/>
                <w:b w:val="1"/>
                <w:bCs w:val="1"/>
                <w:color w:val="auto"/>
              </w:rPr>
              <w:t>Purchased as Part</w:t>
            </w:r>
          </w:p>
        </w:tc>
        <w:tc>
          <w:tcPr>
            <w:tcW w:w="1600" w:type="dxa"/>
            <w:vAlign w:val="bottom"/>
          </w:tcPr>
          <w:p>
            <w:pPr>
              <w:jc w:val="center"/>
              <w:ind w:right="103"/>
              <w:spacing w:after="0" w:line="137" w:lineRule="exact"/>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040" w:type="dxa"/>
            <w:vAlign w:val="bottom"/>
            <w:gridSpan w:val="3"/>
          </w:tcPr>
          <w:p>
            <w:pPr>
              <w:jc w:val="center"/>
              <w:ind w:right="170"/>
              <w:spacing w:after="0" w:line="146" w:lineRule="exact"/>
              <w:rPr>
                <w:sz w:val="20"/>
                <w:szCs w:val="20"/>
                <w:color w:val="auto"/>
              </w:rPr>
            </w:pPr>
            <w:r>
              <w:rPr>
                <w:rFonts w:ascii="Times New Roman" w:cs="Times New Roman" w:eastAsia="Times New Roman" w:hAnsi="Times New Roman"/>
                <w:sz w:val="14"/>
                <w:szCs w:val="14"/>
                <w:b w:val="1"/>
                <w:bCs w:val="1"/>
                <w:color w:val="auto"/>
              </w:rPr>
              <w:t>of Publicly</w:t>
            </w:r>
          </w:p>
        </w:tc>
        <w:tc>
          <w:tcPr>
            <w:tcW w:w="1600" w:type="dxa"/>
            <w:vAlign w:val="bottom"/>
          </w:tcPr>
          <w:p>
            <w:pPr>
              <w:jc w:val="center"/>
              <w:ind w:right="83"/>
              <w:spacing w:after="0" w:line="146"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2040" w:type="dxa"/>
            <w:vAlign w:val="bottom"/>
            <w:gridSpan w:val="3"/>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60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203"/>
        </w:trPr>
        <w:tc>
          <w:tcPr>
            <w:tcW w:w="3900" w:type="dxa"/>
            <w:vAlign w:val="bottom"/>
            <w:gridSpan w:val="2"/>
            <w:vMerge w:val="continue"/>
          </w:tcPr>
          <w:p>
            <w:pPr>
              <w:spacing w:after="0"/>
              <w:rPr>
                <w:sz w:val="17"/>
                <w:szCs w:val="17"/>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Purchased </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204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 xml:space="preserve">or Programs </w:t>
            </w:r>
            <w:r>
              <w:rPr>
                <w:rFonts w:ascii="Times New Roman" w:cs="Times New Roman" w:eastAsia="Times New Roman" w:hAnsi="Times New Roman"/>
                <w:sz w:val="9"/>
                <w:szCs w:val="9"/>
                <w:b w:val="1"/>
                <w:bCs w:val="1"/>
                <w:color w:val="auto"/>
              </w:rPr>
              <w:t>(2)</w:t>
            </w:r>
          </w:p>
        </w:tc>
        <w:tc>
          <w:tcPr>
            <w:tcW w:w="1600" w:type="dxa"/>
            <w:vAlign w:val="bottom"/>
          </w:tcPr>
          <w:p>
            <w:pPr>
              <w:jc w:val="center"/>
              <w:ind w:right="103"/>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Plans or Programs </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23"/>
        </w:trPr>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2025</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416,172,903</w:t>
            </w:r>
          </w:p>
        </w:tc>
        <w:tc>
          <w:tcPr>
            <w:tcW w:w="0" w:type="dxa"/>
            <w:vAlign w:val="bottom"/>
          </w:tcPr>
          <w:p>
            <w:pPr>
              <w:spacing w:after="0"/>
              <w:rPr>
                <w:sz w:val="1"/>
                <w:szCs w:val="1"/>
                <w:color w:val="auto"/>
              </w:rPr>
            </w:pPr>
          </w:p>
        </w:tc>
      </w:tr>
      <w:tr>
        <w:trPr>
          <w:trHeight w:val="23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2025</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111.32</w:t>
            </w:r>
          </w:p>
        </w:tc>
        <w:tc>
          <w:tcPr>
            <w:tcW w:w="100" w:type="dxa"/>
            <w:vAlign w:val="bottom"/>
          </w:tcPr>
          <w:p>
            <w:pPr>
              <w:spacing w:after="0"/>
              <w:rPr>
                <w:sz w:val="19"/>
                <w:szCs w:val="19"/>
                <w:color w:val="auto"/>
              </w:rPr>
            </w:pPr>
          </w:p>
        </w:tc>
        <w:tc>
          <w:tcPr>
            <w:tcW w:w="204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416,172,903</w:t>
            </w:r>
          </w:p>
        </w:tc>
        <w:tc>
          <w:tcPr>
            <w:tcW w:w="0" w:type="dxa"/>
            <w:vAlign w:val="bottom"/>
          </w:tcPr>
          <w:p>
            <w:pPr>
              <w:spacing w:after="0"/>
              <w:rPr>
                <w:sz w:val="1"/>
                <w:szCs w:val="1"/>
                <w:color w:val="auto"/>
              </w:rPr>
            </w:pPr>
          </w:p>
        </w:tc>
      </w:tr>
      <w:tr>
        <w:trPr>
          <w:trHeight w:val="294"/>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2025</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279,849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107.21</w:t>
            </w:r>
          </w:p>
        </w:tc>
        <w:tc>
          <w:tcPr>
            <w:tcW w:w="1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279,771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386,178,956</w:t>
            </w:r>
          </w:p>
        </w:tc>
        <w:tc>
          <w:tcPr>
            <w:tcW w:w="0" w:type="dxa"/>
            <w:vAlign w:val="bottom"/>
          </w:tcPr>
          <w:p>
            <w:pPr>
              <w:spacing w:after="0"/>
              <w:rPr>
                <w:sz w:val="1"/>
                <w:szCs w:val="1"/>
                <w:color w:val="auto"/>
              </w:rPr>
            </w:pPr>
          </w:p>
        </w:tc>
      </w:tr>
      <w:tr>
        <w:trPr>
          <w:trHeight w:val="190"/>
        </w:trPr>
        <w:tc>
          <w:tcPr>
            <w:tcW w:w="38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76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375,573</w:t>
            </w:r>
          </w:p>
        </w:tc>
        <w:tc>
          <w:tcPr>
            <w:tcW w:w="380" w:type="dxa"/>
            <w:vAlign w:val="bottom"/>
            <w:tcBorders>
              <w:top w:val="single" w:sz="8" w:color="CCEEFF"/>
            </w:tcBorders>
            <w:gridSpan w:val="2"/>
          </w:tcPr>
          <w:p>
            <w:pPr>
              <w:jc w:val="right"/>
              <w:ind w:right="9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CCEEFF"/>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108.26</w:t>
            </w:r>
          </w:p>
        </w:tc>
        <w:tc>
          <w:tcPr>
            <w:tcW w:w="100" w:type="dxa"/>
            <w:vAlign w:val="bottom"/>
            <w:tcBorders>
              <w:top w:val="single" w:sz="8" w:color="CCEEFF"/>
            </w:tcBorders>
          </w:tcPr>
          <w:p>
            <w:pPr>
              <w:spacing w:after="0"/>
              <w:rPr>
                <w:sz w:val="16"/>
                <w:szCs w:val="16"/>
                <w:color w:val="auto"/>
              </w:rPr>
            </w:pPr>
          </w:p>
        </w:tc>
        <w:tc>
          <w:tcPr>
            <w:tcW w:w="176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279,771</w:t>
            </w: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w:t>
            </w: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3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460" w:right="140" w:hanging="412"/>
        <w:spacing w:after="0" w:line="281" w:lineRule="auto"/>
        <w:tabs>
          <w:tab w:leader="none" w:pos="4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95,724 and 78 shares withheld in February 2025 and March 2025, respectively, in satisfaction of withholding taxes due upon the vesting of restricted stock units granted to our employees under the 2013 Omnibus Incentive Plan (as amended and restated effective May 11, 2023).</w:t>
      </w:r>
    </w:p>
    <w:p>
      <w:pPr>
        <w:spacing w:after="0" w:line="1" w:lineRule="exact"/>
        <w:rPr>
          <w:rFonts w:ascii="Times New Roman" w:cs="Times New Roman" w:eastAsia="Times New Roman" w:hAnsi="Times New Roman"/>
          <w:sz w:val="18"/>
          <w:szCs w:val="18"/>
          <w:color w:val="auto"/>
        </w:rPr>
      </w:pPr>
    </w:p>
    <w:p>
      <w:pPr>
        <w:ind w:left="460" w:right="20" w:hanging="412"/>
        <w:spacing w:after="0" w:line="254" w:lineRule="auto"/>
        <w:tabs>
          <w:tab w:leader="none" w:pos="4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2014, our Board of Directors authorized a $250 million stock repurchase program (the "2014 Program"). In November 2015, our Board of Directors approved the expansion of the 2014 Program by an additional $150 million. In August 2018, our Board of Directors approved the further expansion of the existing 2014 Program by an additional $150 million. In August 2022, our Board of Directors approved the further expansion of the existing 2014 Program by an additional $500 million. During the three months ended March 31, 2025, 279,771 shares of our common stock were repurchased for an aggregate purchase price of $30 million under the 2014 Program. As of March 31, 2025, 9,482,402 shares of our common stock had been acquired at an aggregate purchase price of approximately $664 million under the 2014 Program. Transaction fees and commissions are not reported in the average price paid per share in the table above. Decisions regarding the amount and the timing of purchases under the 2014 Program will be influenced by our cash on hand, our cash flows from operations, general market conditions and other factors. The 2014 Program may be discontinued by our Board of Directors at any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6" w:lineRule="exact"/>
        <w:rPr>
          <w:sz w:val="20"/>
          <w:szCs w:val="20"/>
          <w:color w:val="auto"/>
        </w:rPr>
      </w:pPr>
    </w:p>
    <w:p>
      <w:pPr>
        <w:ind w:right="2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Rule 10b5-1 Trading Arrangements. </w:t>
      </w:r>
      <w:r>
        <w:rPr>
          <w:rFonts w:ascii="Times New Roman" w:cs="Times New Roman" w:eastAsia="Times New Roman" w:hAnsi="Times New Roman"/>
          <w:sz w:val="18"/>
          <w:szCs w:val="18"/>
          <w:color w:val="auto"/>
        </w:rPr>
        <w:t>During the three months ended March 31, 2025, no director or officer of the Company adopted or terminated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10b5-1 trading arrangement" or "non-Rule 10b5-1 trading arrangement," as each term is defined in Item 408 of Regulation S-K.</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3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20"/>
        </w:trPr>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tcPr>
          <w:p>
            <w:pPr>
              <w:spacing w:after="0"/>
              <w:rPr>
                <w:sz w:val="24"/>
                <w:szCs w:val="24"/>
                <w:color w:val="auto"/>
              </w:rPr>
            </w:pPr>
          </w:p>
        </w:tc>
        <w:tc>
          <w:tcPr>
            <w:tcW w:w="9840" w:type="dxa"/>
            <w:vAlign w:val="bottom"/>
            <w:gridSpan w:val="10"/>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Restated Certificate of Incorporation of Westlake as filed with the Delaware Secretary of State on February 20, 2024 (incorporated by</w:t>
              </w:r>
            </w:hyperlink>
          </w:p>
        </w:tc>
      </w:tr>
      <w:tr>
        <w:trPr>
          <w:trHeight w:val="183"/>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4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reference to Exhibit 3.1 to Westlake's Annual Report on Form 10-K for the year ended December 31, 2023 filed on February 22, 2024,</w:t>
              </w:r>
            </w:hyperlink>
          </w:p>
        </w:tc>
        <w:tc>
          <w:tcPr>
            <w:tcW w:w="60" w:type="dxa"/>
            <w:vAlign w:val="bottom"/>
            <w:tcBorders>
              <w:bottom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700" w:type="dxa"/>
            <w:vAlign w:val="bottom"/>
            <w:gridSpan w:val="8"/>
          </w:tcPr>
          <w:p>
            <w:pPr>
              <w:spacing w:after="0" w:line="182"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File No. 001-32260).</w:t>
              </w:r>
            </w:hyperlink>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Pr>
          <w:p>
            <w:pPr>
              <w:spacing w:after="0"/>
              <w:rPr>
                <w:sz w:val="24"/>
                <w:szCs w:val="24"/>
                <w:color w:val="auto"/>
              </w:rPr>
            </w:pPr>
          </w:p>
        </w:tc>
        <w:tc>
          <w:tcPr>
            <w:tcW w:w="9840" w:type="dxa"/>
            <w:vAlign w:val="bottom"/>
            <w:gridSpan w:val="10"/>
          </w:tcPr>
          <w:p>
            <w:pPr>
              <w:spacing w:after="0"/>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Amended and Restated Bylaws of Westlake (incorporated by reference to Westlake's Current Report on Form 8-K, filed on February 18,</w:t>
              </w:r>
            </w:hyperlink>
          </w:p>
        </w:tc>
      </w:tr>
      <w:tr>
        <w:trPr>
          <w:trHeight w:val="183"/>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98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2022, File No. 001-32260).</w:t>
              </w:r>
            </w:hyperlink>
          </w:p>
        </w:tc>
        <w:tc>
          <w:tcPr>
            <w:tcW w:w="784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r>
      <w:tr>
        <w:trPr>
          <w:trHeight w:val="290"/>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98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Rule 13a – 14(a) / 15d – 14(a) Certification (Principal Executive Officer).</w:t>
            </w:r>
          </w:p>
        </w:tc>
      </w:tr>
      <w:tr>
        <w:trPr>
          <w:trHeight w:val="26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52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Rule 13a – 14(a) / 15d – 14(a) Certification (Principal Financial Officer).</w:t>
            </w:r>
          </w:p>
        </w:tc>
        <w:tc>
          <w:tcPr>
            <w:tcW w:w="80" w:type="dxa"/>
            <w:vAlign w:val="bottom"/>
            <w:tcBorders>
              <w:top w:val="single" w:sz="8" w:color="0000FF"/>
            </w:tcBorders>
          </w:tcPr>
          <w:p>
            <w:pPr>
              <w:spacing w:after="0"/>
              <w:rPr>
                <w:sz w:val="22"/>
                <w:szCs w:val="22"/>
                <w:color w:val="auto"/>
              </w:rPr>
            </w:pPr>
          </w:p>
        </w:tc>
        <w:tc>
          <w:tcPr>
            <w:tcW w:w="4480" w:type="dxa"/>
            <w:vAlign w:val="bottom"/>
            <w:gridSpan w:val="5"/>
          </w:tcPr>
          <w:p>
            <w:pPr>
              <w:spacing w:after="0"/>
              <w:rPr>
                <w:sz w:val="22"/>
                <w:szCs w:val="22"/>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80" w:type="dxa"/>
            <w:vAlign w:val="bottom"/>
          </w:tcPr>
          <w:p>
            <w:pPr>
              <w:spacing w:after="0"/>
              <w:rPr>
                <w:sz w:val="22"/>
                <w:szCs w:val="22"/>
                <w:color w:val="auto"/>
              </w:rPr>
            </w:pPr>
          </w:p>
        </w:tc>
        <w:tc>
          <w:tcPr>
            <w:tcW w:w="98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Section 1350 Certification (Principal Executive Officer and Principal Financial Officer).</w:t>
            </w:r>
          </w:p>
        </w:tc>
      </w:tr>
      <w:tr>
        <w:trPr>
          <w:trHeight w:val="20"/>
        </w:trPr>
        <w:tc>
          <w:tcPr>
            <w:tcW w:w="1280" w:type="dxa"/>
            <w:vAlign w:val="bottom"/>
            <w:gridSpan w:val="2"/>
          </w:tcPr>
          <w:p>
            <w:pPr>
              <w:spacing w:after="0" w:line="20" w:lineRule="exact"/>
              <w:rPr>
                <w:sz w:val="1"/>
                <w:szCs w:val="1"/>
                <w:color w:val="auto"/>
              </w:rPr>
            </w:pPr>
          </w:p>
        </w:tc>
        <w:tc>
          <w:tcPr>
            <w:tcW w:w="6360" w:type="dxa"/>
            <w:vAlign w:val="bottom"/>
            <w:gridSpan w:val="6"/>
            <w:shd w:val="clear" w:color="auto" w:fill="0000FF"/>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r>
      <w:tr>
        <w:trPr>
          <w:trHeight w:val="259"/>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49" w:lineRule="exact"/>
        <w:rPr>
          <w:sz w:val="20"/>
          <w:szCs w:val="20"/>
          <w:color w:val="auto"/>
        </w:rPr>
      </w:pPr>
    </w:p>
    <w:p>
      <w:pPr>
        <w:ind w:left="1300" w:right="260" w:hanging="1274"/>
        <w:spacing w:after="0" w:line="250"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 and contained in Exhibit 101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0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283" w:lineRule="exact"/>
        <w:rPr>
          <w:sz w:val="20"/>
          <w:szCs w:val="20"/>
          <w:color w:val="auto"/>
        </w:rPr>
      </w:pPr>
    </w:p>
    <w:p>
      <w:pPr>
        <w:ind w:left="20"/>
        <w:spacing w:after="0"/>
        <w:tabs>
          <w:tab w:leader="none" w:pos="600" w:val="left"/>
          <w:tab w:leader="none" w:pos="6320" w:val="left"/>
          <w:tab w:leader="none" w:pos="8240" w:val="left"/>
          <w:tab w:leader="none" w:pos="8560" w:val="left"/>
        </w:tabs>
        <w:rPr>
          <w:sz w:val="20"/>
          <w:szCs w:val="20"/>
          <w:color w:val="auto"/>
        </w:rPr>
      </w:pPr>
      <w:r>
        <w:rPr>
          <w:rFonts w:ascii="Times New Roman" w:cs="Times New Roman" w:eastAsia="Times New Roman" w:hAnsi="Times New Roman"/>
          <w:sz w:val="18"/>
          <w:szCs w:val="18"/>
          <w:color w:val="auto"/>
        </w:rPr>
        <w:t>Date:</w:t>
        <w:tab/>
        <w:t>May 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4"/>
          <w:szCs w:val="14"/>
          <w:color w:val="auto"/>
        </w:rPr>
        <w:t>/S/</w:t>
      </w:r>
      <w:r>
        <w:rPr>
          <w:sz w:val="20"/>
          <w:szCs w:val="20"/>
          <w:color w:val="auto"/>
        </w:rPr>
        <w:tab/>
      </w: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26035</wp:posOffset>
            </wp:positionV>
            <wp:extent cx="27349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2734945" cy="8255"/>
                    </a:xfrm>
                    <a:prstGeom prst="rect">
                      <a:avLst/>
                    </a:prstGeom>
                    <a:noFill/>
                  </pic:spPr>
                </pic:pic>
              </a:graphicData>
            </a:graphic>
          </wp:anchor>
        </w:drawing>
      </w:r>
    </w:p>
    <w:p>
      <w:pPr>
        <w:spacing w:after="0" w:line="23"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34"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ind w:left="83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86" w:lineRule="exact"/>
        <w:rPr>
          <w:sz w:val="20"/>
          <w:szCs w:val="20"/>
          <w:color w:val="auto"/>
        </w:rPr>
      </w:pPr>
    </w:p>
    <w:p>
      <w:pPr>
        <w:ind w:left="20"/>
        <w:spacing w:after="0"/>
        <w:tabs>
          <w:tab w:leader="none" w:pos="600" w:val="left"/>
          <w:tab w:leader="none" w:pos="6320" w:val="left"/>
          <w:tab w:leader="none" w:pos="8120" w:val="left"/>
          <w:tab w:leader="none" w:pos="8480" w:val="left"/>
        </w:tabs>
        <w:rPr>
          <w:sz w:val="20"/>
          <w:szCs w:val="20"/>
          <w:color w:val="auto"/>
        </w:rPr>
      </w:pPr>
      <w:r>
        <w:rPr>
          <w:rFonts w:ascii="Times New Roman" w:cs="Times New Roman" w:eastAsia="Times New Roman" w:hAnsi="Times New Roman"/>
          <w:sz w:val="18"/>
          <w:szCs w:val="18"/>
          <w:color w:val="auto"/>
        </w:rPr>
        <w:t>Date:</w:t>
        <w:tab/>
        <w:t>May 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26035</wp:posOffset>
            </wp:positionV>
            <wp:extent cx="273494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2734945" cy="8890"/>
                    </a:xfrm>
                    <a:prstGeom prst="rect">
                      <a:avLst/>
                    </a:prstGeom>
                    <a:noFill/>
                  </pic:spPr>
                </pic:pic>
              </a:graphicData>
            </a:graphic>
          </wp:anchor>
        </w:drawing>
      </w:r>
    </w:p>
    <w:p>
      <w:pPr>
        <w:spacing w:after="0" w:line="23"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ind w:left="83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800"/>
          </w:cols>
          <w:pgMar w:left="320" w:top="118" w:right="77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Jean-Marc Gilson, certify that:</w:t>
      </w:r>
    </w:p>
    <w:p>
      <w:pPr>
        <w:spacing w:after="0" w:line="144" w:lineRule="exact"/>
        <w:rPr>
          <w:sz w:val="20"/>
          <w:szCs w:val="20"/>
          <w:color w:val="auto"/>
        </w:rPr>
      </w:pPr>
    </w:p>
    <w:p>
      <w:pPr>
        <w:ind w:left="680" w:hanging="654"/>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Corporation (the "registrant");</w:t>
      </w:r>
    </w:p>
    <w:p>
      <w:pPr>
        <w:spacing w:after="0" w:line="130"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60" w:val="left"/>
          <w:tab w:leader="none" w:pos="8200" w:val="left"/>
          <w:tab w:leader="none" w:pos="8520" w:val="left"/>
        </w:tabs>
        <w:rPr>
          <w:sz w:val="20"/>
          <w:szCs w:val="20"/>
          <w:color w:val="auto"/>
        </w:rPr>
      </w:pPr>
      <w:r>
        <w:rPr>
          <w:rFonts w:ascii="Times New Roman" w:cs="Times New Roman" w:eastAsia="Times New Roman" w:hAnsi="Times New Roman"/>
          <w:sz w:val="18"/>
          <w:szCs w:val="18"/>
          <w:color w:val="auto"/>
        </w:rPr>
        <w:t>Date:</w:t>
        <w:tab/>
        <w:t>May 2, 2025</w:t>
      </w:r>
      <w:r>
        <w:rPr>
          <w:sz w:val="20"/>
          <w:szCs w:val="20"/>
          <w:color w:val="auto"/>
        </w:rPr>
        <w:tab/>
      </w:r>
      <w:r>
        <w:rPr>
          <w:rFonts w:ascii="Times New Roman" w:cs="Times New Roman" w:eastAsia="Times New Roman" w:hAnsi="Times New Roman"/>
          <w:sz w:val="14"/>
          <w:szCs w:val="14"/>
          <w:color w:val="auto"/>
        </w:rPr>
        <w:t>/S/</w:t>
      </w:r>
      <w:r>
        <w:rPr>
          <w:sz w:val="20"/>
          <w:szCs w:val="20"/>
          <w:color w:val="auto"/>
        </w:rPr>
        <w:tab/>
      </w: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26035</wp:posOffset>
            </wp:positionV>
            <wp:extent cx="27946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42"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6"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 Steven Bender, certify that:</w:t>
      </w:r>
    </w:p>
    <w:p>
      <w:pPr>
        <w:spacing w:after="0" w:line="144" w:lineRule="exact"/>
        <w:rPr>
          <w:sz w:val="20"/>
          <w:szCs w:val="20"/>
          <w:color w:val="auto"/>
        </w:rPr>
      </w:pPr>
    </w:p>
    <w:p>
      <w:pPr>
        <w:ind w:left="680" w:hanging="654"/>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Corporation (the "registrant");</w:t>
      </w:r>
    </w:p>
    <w:p>
      <w:pPr>
        <w:spacing w:after="0" w:line="130"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600" w:val="left"/>
          <w:tab w:leader="none" w:pos="8220" w:val="left"/>
        </w:tabs>
        <w:rPr>
          <w:sz w:val="20"/>
          <w:szCs w:val="20"/>
          <w:color w:val="auto"/>
        </w:rPr>
      </w:pPr>
      <w:r>
        <w:rPr>
          <w:rFonts w:ascii="Times New Roman" w:cs="Times New Roman" w:eastAsia="Times New Roman" w:hAnsi="Times New Roman"/>
          <w:sz w:val="18"/>
          <w:szCs w:val="18"/>
          <w:color w:val="auto"/>
        </w:rPr>
        <w:t>Date:</w:t>
        <w:tab/>
        <w:t>May 2, 2025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3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ind w:left="82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Westlake Corporation (the "Company") on Form 10-Q for the fiscal quarter ended March 31, 2025 as filed with the Securities and Exchange Commission on the date hereof (the "Report"), I, Jean-Marc Gilson, President and Chief Executive Officer of the Company, and I, M. Steven Bender, Executive Vice President and Chief Financial Officer of the Company, certify, to the best of our knowledge, pursuant to 18 U.S.C. §1350, as adopted pursuant to §906 of the Sarbanes-Oxley Act of 2002, that:</w:t>
      </w:r>
    </w:p>
    <w:p>
      <w:pPr>
        <w:spacing w:after="0" w:line="72" w:lineRule="exact"/>
        <w:rPr>
          <w:sz w:val="20"/>
          <w:szCs w:val="20"/>
          <w:color w:val="auto"/>
        </w:rPr>
      </w:pPr>
    </w:p>
    <w:p>
      <w:pPr>
        <w:ind w:left="560" w:hanging="309"/>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aspects,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600" w:val="left"/>
          <w:tab w:leader="none" w:pos="8160" w:val="left"/>
          <w:tab w:leader="none" w:pos="8500" w:val="left"/>
        </w:tabs>
        <w:rPr>
          <w:sz w:val="20"/>
          <w:szCs w:val="20"/>
          <w:color w:val="auto"/>
        </w:rPr>
      </w:pPr>
      <w:r>
        <w:rPr>
          <w:rFonts w:ascii="Times New Roman" w:cs="Times New Roman" w:eastAsia="Times New Roman" w:hAnsi="Times New Roman"/>
          <w:sz w:val="18"/>
          <w:szCs w:val="18"/>
          <w:color w:val="auto"/>
        </w:rPr>
        <w:t>Date:</w:t>
        <w:tab/>
        <w:t>May 2, 2025</w:t>
      </w:r>
      <w:r>
        <w:rPr>
          <w:sz w:val="20"/>
          <w:szCs w:val="20"/>
          <w:color w:val="auto"/>
        </w:rPr>
        <w:tab/>
      </w:r>
      <w:r>
        <w:rPr>
          <w:rFonts w:ascii="Times New Roman" w:cs="Times New Roman" w:eastAsia="Times New Roman" w:hAnsi="Times New Roman"/>
          <w:sz w:val="14"/>
          <w:szCs w:val="14"/>
          <w:color w:val="auto"/>
        </w:rPr>
        <w:t>/S/</w:t>
      </w:r>
      <w:r>
        <w:rPr>
          <w:sz w:val="20"/>
          <w:szCs w:val="20"/>
          <w:color w:val="auto"/>
        </w:rPr>
        <w:tab/>
      </w: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34"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ind w:left="820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40" w:lineRule="exact"/>
        <w:rPr>
          <w:sz w:val="20"/>
          <w:szCs w:val="20"/>
          <w:color w:val="auto"/>
        </w:rPr>
      </w:pPr>
    </w:p>
    <w:p>
      <w:pPr>
        <w:ind w:left="20"/>
        <w:spacing w:after="0"/>
        <w:tabs>
          <w:tab w:leader="none" w:pos="600" w:val="left"/>
          <w:tab w:leader="none" w:pos="8020" w:val="left"/>
          <w:tab w:leader="none" w:pos="8360" w:val="left"/>
        </w:tabs>
        <w:rPr>
          <w:sz w:val="20"/>
          <w:szCs w:val="20"/>
          <w:color w:val="auto"/>
        </w:rPr>
      </w:pPr>
      <w:r>
        <w:rPr>
          <w:rFonts w:ascii="Times New Roman" w:cs="Times New Roman" w:eastAsia="Times New Roman" w:hAnsi="Times New Roman"/>
          <w:sz w:val="18"/>
          <w:szCs w:val="18"/>
          <w:color w:val="auto"/>
        </w:rPr>
        <w:t>Date:</w:t>
        <w:tab/>
        <w:t>May 2, 2025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3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ind w:left="82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1."/>
      <w:numFmt w:val="decimal"/>
      <w:start w:val="11"/>
    </w:lvl>
  </w:abstractNum>
  <w:abstractNum w:abstractNumId="4">
    <w:nsid w:val="3352255A"/>
    <w:multiLevelType w:val="hybridMultilevel"/>
    <w:lvl w:ilvl="0">
      <w:lvlJc w:val="left"/>
      <w:lvlText w:val="%1."/>
      <w:numFmt w:val="decimal"/>
      <w:start w:val="12"/>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2"/>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6"/>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04"/>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0" Type="http://schemas.openxmlformats.org/officeDocument/2006/relationships/hyperlink" Target="https://www.sec.gov/Archives/edgar/data/1262823/000126282324000014/exhibit3112312310-k.htm" TargetMode="External"/><Relationship Id="rId81" Type="http://schemas.openxmlformats.org/officeDocument/2006/relationships/hyperlink" Target="https://www.sec.gov/Archives/edgar/data/0001262823/000119312522046627/d27005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2025-05-02T14:23:48Z</dcterms:created>
  <dcterms:modified xsi:type="dcterms:W3CDTF">2025-05-02T14:23:48Z</dcterms:modified>
</cp:coreProperties>
</file>