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37911d8k.htm"/>
      <w:bookmarkStart w:id="1" w:name="ksd43791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31,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Westlake Corporation</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001-32260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76-0346924</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5444 Westheimer, Suite 101</w:t>
            </w:r>
          </w:p>
          <w:p>
            <w:pPr>
              <w:pStyle w:val="TableContents"/>
              <w:bidi w:val="0"/>
              <w:spacing w:before="0" w:after="20"/>
              <w:jc w:val="center"/>
              <w:rPr>
                <w:rFonts w:ascii="Times New Roman" w:hAnsi="Times New Roman"/>
                <w:b/>
                <w:sz w:val="20"/>
              </w:rPr>
            </w:pPr>
            <w:r>
              <w:rPr>
                <w:rFonts w:ascii="Times New Roman" w:hAnsi="Times New Roman"/>
                <w:b/>
                <w:sz w:val="20"/>
              </w:rPr>
              <w:t>Houston, Texas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77056</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(713) 960-9111</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00" w:type="dxa"/>
        <w:jc w:val="left"/>
        <w:tblInd w:w="0" w:type="dxa"/>
        <w:tblLayout w:type="fixed"/>
        <w:tblCellMar>
          <w:top w:w="0" w:type="dxa"/>
          <w:left w:w="0" w:type="dxa"/>
          <w:bottom w:w="0" w:type="dxa"/>
          <w:right w:w="0" w:type="dxa"/>
        </w:tblCellMar>
      </w:tblPr>
      <w:tblGrid>
        <w:gridCol w:w="3110"/>
        <w:gridCol w:w="60"/>
        <w:gridCol w:w="875"/>
        <w:gridCol w:w="60"/>
        <w:gridCol w:w="3095"/>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1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WLK</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The New York Stock Exchange</w:t>
            </w:r>
          </w:p>
          <w:p>
            <w:pPr>
              <w:pStyle w:val="TableContents"/>
              <w:bidi w:val="0"/>
              <w:spacing w:before="0" w:after="20"/>
              <w:jc w:val="center"/>
              <w:rPr>
                <w:rFonts w:ascii="Times New Roman" w:hAnsi="Times New Roman"/>
                <w:sz w:val="20"/>
              </w:rPr>
            </w:pPr>
            <w:bookmarkStart w:id="2" w:name="Fact_7"/>
            <w:bookmarkEnd w:id="2"/>
            <w:r>
              <w:rPr>
                <w:rFonts w:ascii="Times New Roman" w:hAnsi="Times New Roman"/>
                <w:sz w:val="20"/>
              </w:rPr>
              <w:t>NYSE Texas</w:t>
            </w:r>
          </w:p>
        </w:tc>
      </w:tr>
      <w:tr>
        <w:trPr/>
        <w:tc>
          <w:tcPr>
            <w:tcW w:w="3110" w:type="dxa"/>
            <w:tcBorders/>
            <w:vAlign w:val="center"/>
          </w:tcPr>
          <w:p>
            <w:pPr>
              <w:pStyle w:val="TableContents"/>
              <w:bidi w:val="0"/>
              <w:spacing w:before="0" w:after="283"/>
              <w:jc w:val="center"/>
              <w:rPr/>
            </w:pPr>
            <w:r>
              <w:rPr/>
              <w:t>1.625% Senior Notes due 2029</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WLK 29</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August 31, 2026, Westlake Corporation (the “Company”) announced the appointment of Tommy E. Darby, age 45, to the position of Vice President, Chief Accounting Officer of the Company, effective immediately.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his appointment as Vice President, Chief Accounting Officer of the Company, Mr. Darby was also appointed as Vice President, Chief Accounting Officer of Westlake Chemical Partners GP LLC, a wholly-owned subsidiary of the Company and the general partner of Westlake Chemical Partners LP, effective August 31, 2026. </w:t>
      </w:r>
    </w:p>
    <w:p>
      <w:pPr>
        <w:pStyle w:val="TextBody"/>
        <w:bidi w:val="0"/>
        <w:spacing w:before="240" w:after="0"/>
        <w:jc w:val="left"/>
        <w:rPr>
          <w:rFonts w:ascii="Times New Roman" w:hAnsi="Times New Roman"/>
          <w:sz w:val="20"/>
        </w:rPr>
      </w:pPr>
      <w:r>
        <w:rPr>
          <w:rFonts w:ascii="Times New Roman" w:hAnsi="Times New Roman"/>
          <w:sz w:val="20"/>
        </w:rPr>
        <w:t xml:space="preserve">Prior to joining the Company, from August 2022 to April 2025, Mr. Darby served as Vice President and Chief Accounting Officer of Pactiv Evergreen Inc. (now Novolex) and, earlier in his tenure there, as Vice President and Controller. From March 2008 to May 2020, Mr. Darby held various leadership roles at Valaris plc (now Valaris Limited) and its predecessor companies in external reporting, financial systems and internal audit, before serving as Vice President and Controller and later as Vice President, Finance. Earlier in his career, Mr. Darby worked in audit and assurance at Deloitte LLP. Mr. Darby received a Bachelor of Science degree in Accounting and a Master of Science degree in Auditing and Financial Accounting from the University of North Texas and is a Certified Public Accountant.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between Mr. Darby and any director or executive officer of the Company. Mr. Darby does not have any interest in any transactions with the Company requiring disclosure under Item 404(a) of Regulation S-K, and there are no arrangements or understandings between Mr. Darby and any other person pursuant to which he was appointed as an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his appointment, Mr. Darby will receive an annual salary of $440,000, a target bonus of 45% of his base salary under the Company’s Annual Incentive Plan (prorated based on Mr. Darby’s start date), a target bonus of 8% of eligible quarterly salary under the Company’s Quarterly Incentive Plan, and a long-term incentive target bonus of 90% of his base salary under the Company’s amended and restated 2013 Omnibus Incentive Plan. Mr. Darby will also receive a sign-on award of restricted stock units (“RSUs”) under the Company’s amended and restated 2013 Omnibus Incentive Plan, with a total aggregate grant date fair value of $135,000. The number of shares of common stock of the Company underlying the RSUs will be determined by dividing the aggregate grant date fair value by the average of the high and low prices of the Company’s common stock on August 31, 2026. The RSUs fully vest on August 31, 2029, provided that Mr. Darby remains in continuous full-time employment with the Company through August 31, 2029. </w:t>
      </w:r>
    </w:p>
    <w:p>
      <w:pPr>
        <w:pStyle w:val="TextBody"/>
        <w:bidi w:val="0"/>
        <w:spacing w:before="240" w:after="0"/>
        <w:jc w:val="left"/>
        <w:rPr>
          <w:rFonts w:ascii="Times New Roman" w:hAnsi="Times New Roman"/>
          <w:sz w:val="20"/>
        </w:rPr>
      </w:pPr>
      <w:r>
        <w:rPr>
          <w:rFonts w:ascii="Times New Roman" w:hAnsi="Times New Roman"/>
          <w:sz w:val="20"/>
        </w:rPr>
        <w:t xml:space="preserve">Mr. Darby will succeed Jeffrey A. Holy, who will transition from his current position of Vice President, Chief Accounting Officer of the Company to the position of Vice President, Finance and Investor Relations of the Company, effective concurrent with the appointment of Mr. Darby.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268"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450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0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b/>
              </w:rPr>
            </w:pPr>
            <w:r>
              <w:rPr>
                <w:b/>
              </w:rPr>
              <w:t>WESTLAKE CORPORATION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56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31,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 Benjamin Ederington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 Benjamin Ederington</w:t>
            </w:r>
          </w:p>
          <w:p>
            <w:pPr>
              <w:pStyle w:val="TableContents"/>
              <w:bidi w:val="0"/>
              <w:spacing w:before="0" w:after="20"/>
              <w:jc w:val="left"/>
              <w:rPr>
                <w:rFonts w:ascii="Times New Roman" w:hAnsi="Times New Roman"/>
                <w:b/>
                <w:sz w:val="20"/>
              </w:rPr>
            </w:pPr>
            <w:r>
              <w:rPr>
                <w:rFonts w:ascii="Times New Roman" w:hAnsi="Times New Roman"/>
                <w:b/>
                <w:sz w:val="20"/>
              </w:rPr>
              <w:t>Executive Vice President, Legal and External Affairs</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863</Words>
  <Characters>4656</Characters>
  <CharactersWithSpaces>5506</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