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138430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135255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September 30, 2023</w:t>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163195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Corporation</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Arial" w:cs="Arial" w:eastAsia="Arial" w:hAnsi="Arial"/>
                <w:sz w:val="18"/>
                <w:szCs w:val="18"/>
                <w:b w:val="1"/>
                <w:bCs w:val="1"/>
                <w:color w:val="auto"/>
                <w:w w:val="89"/>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Arial" w:cs="Arial" w:eastAsia="Arial" w:hAnsi="Arial"/>
                <w:sz w:val="14"/>
                <w:szCs w:val="14"/>
                <w:b w:val="1"/>
                <w:bCs w:val="1"/>
                <w:color w:val="auto"/>
                <w:w w:val="94"/>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Arial" w:cs="Arial" w:eastAsia="Arial" w:hAnsi="Arial"/>
                <w:sz w:val="14"/>
                <w:szCs w:val="14"/>
                <w:b w:val="1"/>
                <w:bCs w:val="1"/>
                <w:color w:val="auto"/>
                <w:w w:val="95"/>
              </w:rPr>
              <w:t>Identification Number)</w:t>
            </w:r>
          </w:p>
        </w:tc>
      </w:tr>
      <w:tr>
        <w:trPr>
          <w:trHeight w:val="466"/>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3900" w:type="dxa"/>
            <w:vAlign w:val="bottom"/>
          </w:tcPr>
          <w:p>
            <w:pPr>
              <w:spacing w:after="0"/>
              <w:rPr>
                <w:sz w:val="24"/>
                <w:szCs w:val="24"/>
                <w:color w:val="auto"/>
              </w:rPr>
            </w:pPr>
          </w:p>
        </w:tc>
      </w:tr>
      <w:tr>
        <w:trPr>
          <w:trHeight w:val="212"/>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3900" w:type="dxa"/>
            <w:vAlign w:val="bottom"/>
          </w:tcPr>
          <w:p>
            <w:pPr>
              <w:spacing w:after="0"/>
              <w:rPr>
                <w:sz w:val="18"/>
                <w:szCs w:val="18"/>
                <w:color w:val="auto"/>
              </w:rPr>
            </w:pPr>
          </w:p>
        </w:tc>
      </w:tr>
      <w:tr>
        <w:trPr>
          <w:trHeight w:val="186"/>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67"/>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Arial" w:cs="Arial" w:eastAsia="Arial" w:hAnsi="Arial"/>
                <w:sz w:val="18"/>
                <w:szCs w:val="18"/>
                <w:b w:val="1"/>
                <w:bCs w:val="1"/>
                <w:color w:val="auto"/>
                <w:w w:val="89"/>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86"/>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6"/>
                <w:szCs w:val="16"/>
                <w:color w:val="auto"/>
              </w:rPr>
            </w:pPr>
          </w:p>
        </w:tc>
      </w:tr>
      <w:tr>
        <w:trPr>
          <w:trHeight w:val="471"/>
        </w:trPr>
        <w:tc>
          <w:tcPr>
            <w:tcW w:w="72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b w:val="1"/>
                <w:bCs w:val="1"/>
                <w:color w:val="auto"/>
                <w:w w:val="91"/>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color w:val="auto"/>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Arial" w:cs="Arial" w:eastAsia="Arial" w:hAnsi="Arial"/>
                <w:sz w:val="18"/>
                <w:szCs w:val="18"/>
                <w:color w:val="auto"/>
                <w:w w:val="91"/>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Arial" w:cs="Arial" w:eastAsia="Arial" w:hAnsi="Arial"/>
                <w:sz w:val="18"/>
                <w:szCs w:val="18"/>
                <w:color w:val="auto"/>
                <w:w w:val="91"/>
              </w:rPr>
              <w:t>The New York Stock Exchange</w:t>
            </w:r>
          </w:p>
        </w:tc>
      </w:tr>
    </w:tbl>
    <w:p>
      <w:pPr>
        <w:spacing w:after="0" w:line="200" w:lineRule="exact"/>
        <w:rPr>
          <w:sz w:val="24"/>
          <w:szCs w:val="24"/>
          <w:color w:val="auto"/>
        </w:rPr>
      </w:pPr>
    </w:p>
    <w:p>
      <w:pPr>
        <w:spacing w:after="0" w:line="218" w:lineRule="exact"/>
        <w:rPr>
          <w:sz w:val="24"/>
          <w:szCs w:val="24"/>
          <w:color w:val="auto"/>
        </w:rPr>
      </w:pPr>
    </w:p>
    <w:p>
      <w:pPr>
        <w:ind w:right="2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22" w:lineRule="exact"/>
        <w:rPr>
          <w:sz w:val="24"/>
          <w:szCs w:val="24"/>
          <w:color w:val="auto"/>
        </w:rPr>
      </w:pPr>
    </w:p>
    <w:p>
      <w:pPr>
        <w:ind w:right="32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40"/>
              <w:spacing w:after="0"/>
              <w:rPr>
                <w:sz w:val="20"/>
                <w:szCs w:val="20"/>
                <w:color w:val="auto"/>
              </w:rPr>
            </w:pPr>
            <w:r>
              <w:rPr>
                <w:rFonts w:ascii="Arial" w:cs="Arial" w:eastAsia="Arial" w:hAnsi="Arial"/>
                <w:sz w:val="18"/>
                <w:szCs w:val="18"/>
                <w:color w:val="auto"/>
              </w:rPr>
              <w:t>x</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4" w:lineRule="exact"/>
        <w:rPr>
          <w:sz w:val="24"/>
          <w:szCs w:val="24"/>
          <w:color w:val="auto"/>
        </w:rPr>
      </w:pPr>
    </w:p>
    <w:p>
      <w:pPr>
        <w:ind w:right="1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right="1620"/>
        <w:spacing w:after="0" w:line="32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x The number of shares outstanding of the registrant's sole class of common stock as of October 26, 2023 was 128,140,768.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732"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3)</w:t>
            </w:r>
          </w:p>
        </w:tc>
        <w:tc>
          <w:tcPr>
            <w:tcW w:w="99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4)</w:t>
            </w:r>
          </w:p>
        </w:tc>
        <w:tc>
          <w:tcPr>
            <w:tcW w:w="99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1A) 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5)</w:t>
            </w:r>
          </w:p>
        </w:tc>
        <w:tc>
          <w:tcPr>
            <w:tcW w:w="99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6)</w:t>
            </w:r>
          </w:p>
        </w:tc>
        <w:tc>
          <w:tcPr>
            <w:tcW w:w="9920" w:type="dxa"/>
            <w:vAlign w:val="bottom"/>
          </w:tcPr>
          <w:p>
            <w:pPr>
              <w:ind w:left="20"/>
              <w:spacing w:after="0"/>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3"/>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9"/>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(in millions of dollars, except</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par values and share amounts)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9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long-term debt,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Preferred stock, $0.01 par value, 50,000,000 shares authorized; no shares issued and outstanding</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Common stock, $0.01 par value, 300,000,000 shares authorized; 134,651,380 and 134,651,380 shares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at September 30, 2023 and December 31, 2022,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7"/>
              </w:rPr>
              <w:t>Common stock, held in treasury, at cost; 6,518,691 and 7,278,651 shares at September 30, 2023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Arial" w:cs="Arial" w:eastAsia="Arial" w:hAnsi="Arial"/>
                <w:sz w:val="18"/>
                <w:szCs w:val="18"/>
                <w:color w:val="auto"/>
              </w:rPr>
              <w:t>December 31, 2022,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Westlake Corporation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millions of dollars, except per share data and share amounts)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Restructuring, transaction and integration-related costs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Westlake Corporation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7"/>
              </w:rPr>
              <w:t>Earnings per common share attributable to Westlake Corporation: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127,854,464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127,943,400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127,685,210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128,118,160</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128,583,927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128,747,012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128,509,618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129,003,750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18"/>
        </w:trPr>
        <w:tc>
          <w:tcPr>
            <w:tcW w:w="5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millions of dollars)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other post-retirement benefits liability</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6"/>
        </w:trPr>
        <w:tc>
          <w:tcPr>
            <w:tcW w:w="5220" w:type="dxa"/>
            <w:vAlign w:val="bottom"/>
          </w:tcPr>
          <w:p>
            <w:pPr>
              <w:ind w:left="660"/>
              <w:spacing w:after="0" w:line="176" w:lineRule="exact"/>
              <w:rPr>
                <w:sz w:val="20"/>
                <w:szCs w:val="20"/>
                <w:color w:val="auto"/>
              </w:rPr>
            </w:pPr>
            <w:r>
              <w:rPr>
                <w:rFonts w:ascii="Arial" w:cs="Arial" w:eastAsia="Arial" w:hAnsi="Arial"/>
                <w:sz w:val="18"/>
                <w:szCs w:val="18"/>
                <w:color w:val="auto"/>
              </w:rPr>
              <w:t>Pension and other post-retirement benefits reserves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20" w:type="dxa"/>
            <w:vAlign w:val="bottom"/>
          </w:tcPr>
          <w:p>
            <w:pPr>
              <w:ind w:left="820"/>
              <w:spacing w:after="0"/>
              <w:rPr>
                <w:sz w:val="20"/>
                <w:szCs w:val="20"/>
                <w:color w:val="auto"/>
              </w:rPr>
            </w:pPr>
            <w:r>
              <w:rPr>
                <w:rFonts w:ascii="Arial" w:cs="Arial" w:eastAsia="Arial" w:hAnsi="Arial"/>
                <w:sz w:val="18"/>
                <w:szCs w:val="18"/>
                <w:color w:val="auto"/>
              </w:rPr>
              <w:t>adjustment</w:t>
            </w:r>
          </w:p>
        </w:tc>
        <w:tc>
          <w:tcPr>
            <w:tcW w:w="9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76"/>
        </w:trPr>
        <w:tc>
          <w:tcPr>
            <w:tcW w:w="522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7"/>
              </w:rPr>
              <w:t>Income tax provision on pension and other post-retirement</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benefits liability</w:t>
            </w:r>
          </w:p>
        </w:tc>
        <w:tc>
          <w:tcPr>
            <w:tcW w:w="9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220" w:type="dxa"/>
            <w:vAlign w:val="bottom"/>
          </w:tcPr>
          <w:p>
            <w:pPr>
              <w:ind w:left="660"/>
              <w:spacing w:after="0"/>
              <w:rPr>
                <w:sz w:val="20"/>
                <w:szCs w:val="20"/>
                <w:color w:val="auto"/>
              </w:rPr>
            </w:pPr>
            <w:r>
              <w:rPr>
                <w:rFonts w:ascii="Arial" w:cs="Arial" w:eastAsia="Arial" w:hAnsi="Arial"/>
                <w:sz w:val="18"/>
                <w:szCs w:val="18"/>
                <w:color w:val="auto"/>
                <w:w w:val="96"/>
              </w:rPr>
              <w:t>Income tax provision benefit on foreign currency translation</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 of income tax</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9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156"/>
        </w:trPr>
        <w:tc>
          <w:tcPr>
            <w:tcW w:w="5220" w:type="dxa"/>
            <w:vAlign w:val="bottom"/>
          </w:tcPr>
          <w:p>
            <w:pPr>
              <w:ind w:left="340"/>
              <w:spacing w:after="0" w:line="156" w:lineRule="exact"/>
              <w:rPr>
                <w:sz w:val="20"/>
                <w:szCs w:val="20"/>
                <w:color w:val="auto"/>
              </w:rPr>
            </w:pPr>
            <w:r>
              <w:rPr>
                <w:rFonts w:ascii="Arial" w:cs="Arial" w:eastAsia="Arial" w:hAnsi="Arial"/>
                <w:sz w:val="18"/>
                <w:szCs w:val="18"/>
                <w:color w:val="auto"/>
                <w:w w:val="97"/>
              </w:rPr>
              <w:t>Comprehensive income attributable to noncontrolling interests,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5220" w:type="dxa"/>
            <w:vAlign w:val="bottom"/>
          </w:tcPr>
          <w:p>
            <w:pPr>
              <w:ind w:left="500"/>
              <w:spacing w:after="0" w:line="176" w:lineRule="exact"/>
              <w:rPr>
                <w:sz w:val="20"/>
                <w:szCs w:val="20"/>
                <w:color w:val="auto"/>
              </w:rPr>
            </w:pPr>
            <w:r>
              <w:rPr>
                <w:rFonts w:ascii="Arial" w:cs="Arial" w:eastAsia="Arial" w:hAnsi="Arial"/>
                <w:sz w:val="18"/>
                <w:szCs w:val="18"/>
                <w:color w:val="auto"/>
                <w:w w:val="95"/>
              </w:rPr>
              <w:t>net of tax of $1 and $1 for the three months ended September</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5220" w:type="dxa"/>
            <w:vAlign w:val="bottom"/>
          </w:tcPr>
          <w:p>
            <w:pPr>
              <w:ind w:left="500"/>
              <w:spacing w:after="0" w:line="189" w:lineRule="exact"/>
              <w:rPr>
                <w:sz w:val="20"/>
                <w:szCs w:val="20"/>
                <w:color w:val="auto"/>
              </w:rPr>
            </w:pPr>
            <w:r>
              <w:rPr>
                <w:rFonts w:ascii="Arial" w:cs="Arial" w:eastAsia="Arial" w:hAnsi="Arial"/>
                <w:sz w:val="18"/>
                <w:szCs w:val="18"/>
                <w:color w:val="auto"/>
              </w:rPr>
              <w:t>30, 2023 and 2022; and net of tax of $3 and $3 for the nine</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2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months ended September 30, 2023 and 2022, respectively</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Westlake Corporation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2060" w:type="dxa"/>
            <w:vAlign w:val="bottom"/>
            <w:gridSpan w:val="5"/>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10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w w:val="95"/>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Income (Loss)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2"/>
              </w:rPr>
              <w:t>(in millions of dollars, except share amounts)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7,278,651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3"/>
              </w:rPr>
              <w:t>(89)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9"/>
              </w:rPr>
              <w:t>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6"/>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7,010,989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3"/>
              </w:rPr>
              <w:t>(67)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3"/>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Balances at June 30,</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6,965,071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3"/>
              </w:rPr>
              <w:t>(79)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905"/>
        </w:trPr>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2060" w:type="dxa"/>
            <w:vAlign w:val="bottom"/>
            <w:gridSpan w:val="5"/>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40" w:type="dxa"/>
            <w:vAlign w:val="bottom"/>
            <w:gridSpan w:val="3"/>
          </w:tcPr>
          <w:p>
            <w:pPr>
              <w:ind w:left="720"/>
              <w:spacing w:after="0"/>
              <w:rPr>
                <w:sz w:val="20"/>
                <w:szCs w:val="20"/>
                <w:color w:val="auto"/>
              </w:rPr>
            </w:pPr>
            <w:r>
              <w:rPr>
                <w:rFonts w:ascii="Arial" w:cs="Arial" w:eastAsia="Arial" w:hAnsi="Arial"/>
                <w:sz w:val="13"/>
                <w:szCs w:val="13"/>
                <w:b w:val="1"/>
                <w:bCs w:val="1"/>
                <w:color w:val="auto"/>
                <w:w w:val="90"/>
              </w:rPr>
              <w:t>Treasury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10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At Cost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Income (Loss)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b w:val="1"/>
                <w:bCs w:val="1"/>
                <w:color w:val="auto"/>
              </w:rPr>
              <w:t>(in millions of dollars, except share amounts)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(446,380)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2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Balances at September</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6,518,691</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color w:val="auto"/>
                <w:w w:val="90"/>
              </w:rPr>
              <w:t>(440)</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10,705</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21"/>
        </w:trPr>
        <w:tc>
          <w:tcPr>
            <w:tcW w:w="2060" w:type="dxa"/>
            <w:vAlign w:val="bottom"/>
          </w:tcPr>
          <w:p>
            <w:pPr>
              <w:ind w:left="180"/>
              <w:spacing w:after="0"/>
              <w:rPr>
                <w:sz w:val="20"/>
                <w:szCs w:val="20"/>
                <w:color w:val="auto"/>
              </w:rPr>
            </w:pPr>
            <w:r>
              <w:rPr>
                <w:rFonts w:ascii="Arial" w:cs="Arial" w:eastAsia="Arial" w:hAnsi="Arial"/>
                <w:sz w:val="18"/>
                <w:szCs w:val="18"/>
                <w:b w:val="1"/>
                <w:bCs w:val="1"/>
                <w:color w:val="auto"/>
              </w:rPr>
              <w:t>30, 2023</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206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2060" w:type="dxa"/>
            <w:vAlign w:val="bottom"/>
            <w:gridSpan w:val="5"/>
          </w:tcPr>
          <w:p>
            <w:pPr>
              <w:ind w:left="20"/>
              <w:spacing w:after="0"/>
              <w:rPr>
                <w:sz w:val="20"/>
                <w:szCs w:val="20"/>
                <w:color w:val="auto"/>
              </w:rPr>
            </w:pPr>
            <w:r>
              <w:rPr>
                <w:rFonts w:ascii="Arial" w:cs="Arial" w:eastAsia="Arial" w:hAnsi="Arial"/>
                <w:sz w:val="13"/>
                <w:szCs w:val="13"/>
                <w:b w:val="1"/>
                <w:bCs w:val="1"/>
                <w:color w:val="auto"/>
                <w:w w:val="98"/>
              </w:rPr>
              <w:t>Common Stock, Held in Treasury</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Other</w:t>
            </w:r>
          </w:p>
        </w:tc>
        <w:tc>
          <w:tcPr>
            <w:tcW w:w="10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rPr>
              <w:t>At Cost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92"/>
              </w:rPr>
              <w:t>(in millions of dollars, except share amounts)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6,735,639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(403,743)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6,331,896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412,490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Balances at June 30,</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6,641,307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905"/>
        </w:trPr>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2060" w:type="dxa"/>
            <w:vAlign w:val="bottom"/>
            <w:gridSpan w:val="5"/>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 Held in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2040" w:type="dxa"/>
            <w:vAlign w:val="bottom"/>
            <w:gridSpan w:val="5"/>
          </w:tcPr>
          <w:p>
            <w:pPr>
              <w:ind w:left="720"/>
              <w:spacing w:after="0"/>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10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55"/>
              <w:spacing w:after="0"/>
              <w:rPr>
                <w:sz w:val="20"/>
                <w:szCs w:val="20"/>
                <w:color w:val="auto"/>
              </w:rPr>
            </w:pPr>
            <w:r>
              <w:rPr>
                <w:rFonts w:ascii="Arial" w:cs="Arial" w:eastAsia="Arial" w:hAnsi="Arial"/>
                <w:sz w:val="13"/>
                <w:szCs w:val="13"/>
                <w:b w:val="1"/>
                <w:bCs w:val="1"/>
                <w:color w:val="auto"/>
              </w:rPr>
              <w:t>At Cost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w w:val="92"/>
              </w:rPr>
              <w:t>(in millions of dollars, except share amounts)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372,430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5"/>
        </w:trPr>
        <w:tc>
          <w:tcPr>
            <w:tcW w:w="2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Balances at September</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134,651,380</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6,992,435</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5"/>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ind w:left="340"/>
              <w:spacing w:after="0"/>
              <w:rPr>
                <w:sz w:val="20"/>
                <w:szCs w:val="20"/>
                <w:color w:val="auto"/>
              </w:rPr>
            </w:pPr>
            <w:r>
              <w:rPr>
                <w:rFonts w:ascii="Arial" w:cs="Arial" w:eastAsia="Arial" w:hAnsi="Arial"/>
                <w:sz w:val="18"/>
                <w:szCs w:val="18"/>
                <w:color w:val="auto"/>
                <w:w w:val="95"/>
              </w:rPr>
              <w:t>(231)</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10,188</w:t>
            </w:r>
          </w:p>
        </w:tc>
        <w:tc>
          <w:tcPr>
            <w:tcW w:w="0" w:type="dxa"/>
            <w:vAlign w:val="bottom"/>
          </w:tcPr>
          <w:p>
            <w:pPr>
              <w:spacing w:after="0"/>
              <w:rPr>
                <w:sz w:val="1"/>
                <w:szCs w:val="1"/>
                <w:color w:val="auto"/>
              </w:rPr>
            </w:pPr>
          </w:p>
        </w:tc>
      </w:tr>
      <w:tr>
        <w:trPr>
          <w:trHeight w:val="221"/>
        </w:trPr>
        <w:tc>
          <w:tcPr>
            <w:tcW w:w="2060" w:type="dxa"/>
            <w:vAlign w:val="bottom"/>
          </w:tcPr>
          <w:p>
            <w:pPr>
              <w:ind w:left="180"/>
              <w:spacing w:after="0"/>
              <w:rPr>
                <w:sz w:val="20"/>
                <w:szCs w:val="20"/>
                <w:color w:val="auto"/>
              </w:rPr>
            </w:pPr>
            <w:r>
              <w:rPr>
                <w:rFonts w:ascii="Arial" w:cs="Arial" w:eastAsia="Arial" w:hAnsi="Arial"/>
                <w:sz w:val="18"/>
                <w:szCs w:val="18"/>
                <w:b w:val="1"/>
                <w:bCs w:val="1"/>
                <w:color w:val="auto"/>
              </w:rPr>
              <w:t>30, 2022</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18"/>
        </w:trPr>
        <w:tc>
          <w:tcPr>
            <w:tcW w:w="8260" w:type="dxa"/>
            <w:vAlign w:val="bottom"/>
          </w:tcPr>
          <w:p>
            <w:pPr>
              <w:spacing w:after="0"/>
              <w:rPr>
                <w:sz w:val="18"/>
                <w:szCs w:val="18"/>
                <w:color w:val="auto"/>
              </w:rPr>
            </w:pPr>
          </w:p>
        </w:tc>
        <w:tc>
          <w:tcPr>
            <w:tcW w:w="24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(in millions of dollars)</w:t>
            </w:r>
          </w:p>
        </w:tc>
        <w:tc>
          <w:tcPr>
            <w:tcW w:w="560" w:type="dxa"/>
            <w:vAlign w:val="bottom"/>
          </w:tcPr>
          <w:p>
            <w:pPr>
              <w:spacing w:after="0"/>
              <w:rPr>
                <w:sz w:val="18"/>
                <w:szCs w:val="18"/>
                <w:color w:val="auto"/>
              </w:rPr>
            </w:pPr>
          </w:p>
        </w:tc>
      </w:tr>
      <w:tr>
        <w:trPr>
          <w:trHeight w:val="26"/>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1,009</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Other losses (gains),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(1,171)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investments in unconsolidated subsidiaries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(2,148)</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senior notes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Repurchase of common stock for treasury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2,246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3,072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Financial Statements</w:t>
      </w:r>
    </w:p>
    <w:p>
      <w:pPr>
        <w:spacing w:after="0" w:line="94"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2022 (the "2022 Form 10-K"), filed with the SEC on February 22, 2023. These consolidated financial statements have been prepared in conformity with the accounting principles and practices as disclosed in the notes to the consolidated financial statements of the Company for the fiscal year ended December 31, 2022.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1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September 30, 2023, its results of operations for the nine months ended September 30, 2023 and 2022, and the changes in its cash position for the nine months ended September 30, 2023 and 2022.</w:t>
      </w:r>
    </w:p>
    <w:p>
      <w:pPr>
        <w:spacing w:after="0" w:line="133"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Results of operations and changes in cash position for the interim periods presented are not necessarily indicative of the results that will be realized for the fiscal year ending December 31, 2023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Combinations—Joint Venture Formations (Subtopic 805-60): Recognition and Initial Measurement (ASU 2023-05)</w:t>
      </w:r>
    </w:p>
    <w:p>
      <w:pPr>
        <w:spacing w:after="0" w:line="90"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In August 2023, the Financial Accounting Standards Board ("FASB") issued accounting standards update No. 2023-05 to address the accounting for contributions made to a joint venture, upon formation, in a joint venture’s separate financial statements, and to (1) provide decision-useful information to investors and other allocators of capital (collectively, investors) in a joint venture’s financial statements and (2) reduce diversity in practice. Under the ASU, a joint venture, upon formation, should recognize and initially measure its assets and liabilities at fair value (with exceptions to fair value measurement that are consistent with guidance for business combinations guidance).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does not expect that this accounting standard will have a material impact, upon adoption, on the Company's consolidated financial position,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(Topic 842): Common Control Arrangements (ASU 2023-01)</w:t>
      </w:r>
    </w:p>
    <w:p>
      <w:pPr>
        <w:spacing w:after="0" w:line="10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March 2023, the FASB issued accounting standards update No. 2023-01 to amend certain provisions of ASC 842 that apply to arrangements between related parties under common control. The update requires all companies to amortize leasehold improvements associated with common control leases over the asset’s useful life to the common control group regardless of the lease term. The amendment in this update is effective for all entities in fiscal years beginning after December 15, 2023, including interim periods within those fiscal years. Early application is permitted. The Company does not expect that this accounting standard will have a material impact, upon adoption, on the Company's consolidated financial position, results of operations and cash flows.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 Supplier Finance Programs (ASU No. 2022-04)</w:t>
      </w:r>
    </w:p>
    <w:p>
      <w:pPr>
        <w:spacing w:after="0" w:line="10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September 2022, the FASB issued accounting standards update No. 2022-04 to enhance transparency of supplier finance programs. Under the ASU, the buyer in a supplier finance program is required to disclose information about the key terms of the program, outstanding confirmed amounts as of the end of the period, a rollforward of the amount of obligations confirmed and the amount of obligations subsequently paid, and a description of where in the financial statements outstanding amounts are presented. The amendments in this update became effective for all entities for fiscal years beginning after December 15, 2022, including interim periods within those fiscal years, except for the disclosure of rollforward information, which is effective for fiscal years beginning after December 15, 2023. The Company adopted this accounting standard effective January 1, 2023, and the adoption did not have a material impact on the Company's consolidated financial position,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 Accounting for Contract Assets and Contract Liabilities from Contracts with Customers Update (ASU No.2021-08)</w:t>
      </w:r>
    </w:p>
    <w:p>
      <w:pPr>
        <w:spacing w:after="0" w:line="9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October 2021, the FASB issued an accounting standards update that requires acquiring entities to recognize and measure contract assets and contract liabilities in a business combination in accordance with the accounting guidance on Revenue from Contracts with Customers (ASC 606). The guidance in this update improves comparability for both the recognition and measurement of acquired revenue contracts with customers at the date of and after a business combination. The accounting standard became effective for reporting periods beginning after December 15, 2022. The Company adopted this accounting standard effective January 1, 2023, and the standard will be applicable to future business combinations.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 of 2022</w:t>
      </w:r>
    </w:p>
    <w:p>
      <w:pPr>
        <w:spacing w:after="0" w:line="10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August 16, 2022, the Inflation Reduction Act of 2022 (the "IRA") was signed into law. The IRA contains several revisions to the Internal Revenue Code, including a 15% corporate minimum income tax for corporations with average annual adjusted financial statement income over a three-tax-year period in excess of $1 billion and is effective for the tax years beginning after December 31, 2022, a 1% excise tax on stock repurchases made by publicly traded U.S. corporations after December 31, 2022, and business tax credits and incentives for the development of clean energy projects and the production of clean energy. At this time, the Company does not expect the IRA will have a material impact on the Company's consolidated financial statements. The Company continues to evaluate the IRA's impact as new information and guidance becomes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Hexion Epoxy Business Acquisition</w:t>
      </w:r>
    </w:p>
    <w:p>
      <w:pPr>
        <w:spacing w:after="0" w:line="108" w:lineRule="exact"/>
        <w:rPr>
          <w:sz w:val="20"/>
          <w:szCs w:val="20"/>
          <w:color w:val="auto"/>
        </w:rPr>
      </w:pPr>
    </w:p>
    <w:p>
      <w:pPr>
        <w:jc w:val="both"/>
        <w:ind w:right="560" w:firstLine="405"/>
        <w:spacing w:after="0" w:line="263" w:lineRule="auto"/>
        <w:rPr>
          <w:sz w:val="20"/>
          <w:szCs w:val="20"/>
          <w:color w:val="auto"/>
        </w:rPr>
      </w:pPr>
      <w:r>
        <w:rPr>
          <w:rFonts w:ascii="Arial" w:cs="Arial" w:eastAsia="Arial" w:hAnsi="Arial"/>
          <w:sz w:val="18"/>
          <w:szCs w:val="18"/>
          <w:color w:val="auto"/>
        </w:rPr>
        <w:t>On February 1, 2022, the Company completed its acquisition of Hexion's global epoxy business ("Westlake Epoxy") for a total final purchase consideration of $1,207. The assets acquired and liabilities assumed and the results of operations of the Westlake Epoxy business are included in the Performance and Essential Materials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0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Company had restricted cash and cash equivalents of $15 and $18 at September 30, 2023 and December 31, 2022,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Related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Feedstock, additives, chemicals and other raw materials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amounts and changes in the carrying amount of goodwill for the nine months ended September 30,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Performance and</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Housing and</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Essential Materials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Infrastructure</w:t>
            </w:r>
          </w:p>
        </w:tc>
        <w:tc>
          <w:tcPr>
            <w:tcW w:w="220" w:type="dxa"/>
            <w:vAlign w:val="bottom"/>
          </w:tcPr>
          <w:p>
            <w:pPr>
              <w:spacing w:after="0"/>
              <w:rPr>
                <w:sz w:val="12"/>
                <w:szCs w:val="12"/>
                <w:color w:val="auto"/>
              </w:rPr>
            </w:pPr>
          </w:p>
        </w:tc>
        <w:tc>
          <w:tcPr>
            <w:tcW w:w="12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Products Segment</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2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changes in foreign exchange rates</w:t>
            </w:r>
          </w:p>
        </w:tc>
        <w:tc>
          <w:tcPr>
            <w:tcW w:w="2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Balances at September 30, 2023</w:t>
            </w:r>
          </w:p>
        </w:tc>
        <w:tc>
          <w:tcPr>
            <w:tcW w:w="2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7. Accounts Payable</w:t>
            </w: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20" w:type="dxa"/>
            <w:vAlign w:val="bottom"/>
          </w:tcPr>
          <w:p>
            <w:pPr>
              <w:ind w:left="420"/>
              <w:spacing w:after="0"/>
              <w:rPr>
                <w:sz w:val="20"/>
                <w:szCs w:val="20"/>
                <w:color w:val="auto"/>
              </w:rPr>
            </w:pPr>
            <w:r>
              <w:rPr>
                <w:rFonts w:ascii="Arial" w:cs="Arial" w:eastAsia="Arial" w:hAnsi="Arial"/>
                <w:sz w:val="18"/>
                <w:szCs w:val="18"/>
                <w:color w:val="auto"/>
              </w:rPr>
              <w:t>Accounts payable consist of the following:</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payable—third parties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Accounts payable to related parties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0.875% senior notes due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3.60% senior notes due 2026</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related to tax-exempt waste disposal revenue bonds due 2027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1.625% €700 million senior notes due 2029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3.50% senior notes due 2032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2.875% senior notes due 2041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5.00% senior notes due 2046</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notes due 2047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3.125% senior notes due 2051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2061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loans due 2026</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principal amount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carrying value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0.875% senior notes due 2024</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Long-term debt, carrying value, net of current portion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Unamortized debt issuance costs on long-term debt were $37 and $40 at September 30, 2023 and December 31, 2022, respectively. As of September 30, 2023, the Company was in compliance with all of its long-term debt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0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September 30, 2023,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3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3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September 30, 2023,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Changes in accumulated other comprehensive income (loss) by component for the nine months ended September 30, 2023 and 2022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 Other</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Cumulative Foreign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Post-Retirement</w:t>
            </w: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Benefits Liability, Net</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Tax</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Exchange, Net of Tax</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other comprehensive loss attributable to Westlake Corporation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other comprehensive income (loss) attributable to Westlake Corporation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w:t>
      </w:r>
    </w:p>
    <w:p>
      <w:pPr>
        <w:spacing w:after="0" w:line="13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and fair values of the Company's total long-term debt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6"/>
                <w:szCs w:val="16"/>
                <w:color w:val="auto"/>
              </w:rPr>
            </w:pPr>
          </w:p>
        </w:tc>
      </w:tr>
      <w:tr>
        <w:trPr>
          <w:trHeight w:val="25"/>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Arial" w:cs="Arial" w:eastAsia="Arial" w:hAnsi="Arial"/>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Arial" w:cs="Arial" w:eastAsia="Arial" w:hAnsi="Arial"/>
                <w:sz w:val="14"/>
                <w:szCs w:val="14"/>
                <w:b w:val="1"/>
                <w:bCs w:val="1"/>
                <w:color w:val="auto"/>
                <w:w w:val="90"/>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3,940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effective income tax rate was 19.2% for the three months ended September 30, 2023 as compared to 16.9% for the three months ended September 30, 2022. The effective income tax rate for the three months ended September 30, 2023 was below the statutory rate of 21.0% primarily due to U.S. federal research and development credits available to the Company, partially offset by an increase in reserves for uncertain income tax positions. The effective income tax rate for the three months ended September 30, 2022 was below the statutory rate of 21.0% primarily due to U.S. federal research and development credits available to the Company.</w:t>
      </w:r>
    </w:p>
    <w:p>
      <w:pPr>
        <w:spacing w:after="0" w:line="13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effective income tax rate was 19.8% for the nine months ended September 30, 2023 as compared to 22.4% for the nine months ended September 30, 2022. The effective income tax rate for the nine months ended September 30, 2023 was below the statutory rate of 21.0% primarily due to U.S. federal research and development credits available to the Company and the reduction of reserves for uncertain income tax positions as a result of a closed federal income tax audit, which was partially offset by an increase in reserves for uncertain income tax positions. The effective income tax rate for the nine months ended September 30, 2022 was above the statutory rate of 21.0% primarily due to state and foreign taxes.</w:t>
      </w:r>
    </w:p>
    <w:p>
      <w:pPr>
        <w:spacing w:after="0" w:line="213" w:lineRule="exact"/>
        <w:rPr>
          <w:sz w:val="20"/>
          <w:szCs w:val="20"/>
          <w:color w:val="auto"/>
        </w:rPr>
      </w:pPr>
    </w:p>
    <w:p>
      <w:pPr>
        <w:ind w:right="8320" w:firstLine="8"/>
        <w:spacing w:after="0" w:line="354"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Earnings and Dividends per Share </w:t>
      </w:r>
      <w:r>
        <w:rPr>
          <w:rFonts w:ascii="Arial" w:cs="Arial" w:eastAsia="Arial" w:hAnsi="Arial"/>
          <w:sz w:val="18"/>
          <w:szCs w:val="18"/>
          <w:b w:val="1"/>
          <w:bCs w:val="1"/>
          <w:i w:val="1"/>
          <w:iCs w:val="1"/>
          <w:color w:val="auto"/>
        </w:rPr>
        <w:t>Earnings per Share</w:t>
      </w:r>
    </w:p>
    <w:p>
      <w:pPr>
        <w:spacing w:after="0" w:line="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each period. Diluted earnings per share include the effects of certain stock options and performance stock units.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Westlake Corporation</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participating securities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reconciles the denominator for the basic and diluted earnings per share computations shown in the consolidated statements of operations: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127,854,464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127,943,400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127,685,210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128,118,160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Plus incremental shares from:</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8"/>
        </w:trPr>
        <w:tc>
          <w:tcPr>
            <w:tcW w:w="516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5"/>
              </w:rPr>
              <w:t>Assumed exercise of options and vesting of performance stock</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803,612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824,408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885,590</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128,583,927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128,747,012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128,509,618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129,003,750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w w:val="97"/>
              </w:rPr>
              <w:t>Earnings per common share attributable to Westlake Corporation: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Excluded from the computation of diluted earnings per share are options to purchase 180,879 and 587,530 shares of common stock for the three months ended September 30, 2023 and 2022, respectively; and 291,303 and 303,878 shares of common stock for the nine months ended September 30, 2023 and 2022, respectively. These options were outstanding during the periods reported but were excluded because the effect of including them would have been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Dividends per Share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Dividends declared per common share for the nine months ended September 30, 2023 and 2022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common share</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0.9520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900" w:firstLine="8"/>
        <w:spacing w:after="0" w:line="40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 xml:space="preserve">Equity Method Investments </w:t>
      </w:r>
      <w:r>
        <w:rPr>
          <w:rFonts w:ascii="Arial" w:cs="Arial" w:eastAsia="Arial" w:hAnsi="Arial"/>
          <w:sz w:val="16"/>
          <w:szCs w:val="16"/>
          <w:i w:val="1"/>
          <w:iCs w:val="1"/>
          <w:color w:val="auto"/>
        </w:rPr>
        <w:t>LACC, LLC Joint Venture</w:t>
      </w:r>
    </w:p>
    <w:p>
      <w:pPr>
        <w:spacing w:after="0" w:line="2"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As of September 30, 2023, the Company owned an aggregate 50% membership interest in LACC, LLC ("LACC"). The Company accounts for its investment in LACC under the equity method of accounting and the change for the nine months ended September 30, 2023 was as follows:</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Investment in LACC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2022</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September 30, 2023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40" w:hanging="933"/>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1,075</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940" w:hanging="933"/>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9086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100" w:space="720"/>
            <w:col w:w="1400"/>
          </w:cols>
          <w:pgMar w:left="320" w:top="122" w:right="35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0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Other assets, net were $669 and $569 at September 30, 2023 and December 31, 2022, respectively. Deferred turnaround costs, net of accumulated amortization, included in other assets, net were $413 and $359 at September 30, 2023 and December 31, 2022,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Liabilities</w:t>
      </w:r>
    </w:p>
    <w:p>
      <w:pPr>
        <w:spacing w:after="0" w:line="104"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Accrued and other liabilities were $1,549 and $1,409 at September 30, 2023 and December 31, 2022, respectively. Accrued rebates and accrued litigation reserves, which are components of accrued and other liabilities, were $210, and $312, respectively, at September 30, 2023 and $227 and $90, respectively, at December 31, 2022. No other component of accrued and other liabilities was more than five percent of total current liabilities. Accrued liabilities with related parties were $30 and $44 at September 30, 2023 and December 31, 2022,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400" w:firstLine="405"/>
        <w:spacing w:after="0" w:line="296" w:lineRule="auto"/>
        <w:rPr>
          <w:sz w:val="20"/>
          <w:szCs w:val="20"/>
          <w:color w:val="auto"/>
        </w:rPr>
      </w:pPr>
      <w:r>
        <w:rPr>
          <w:rFonts w:ascii="Arial" w:cs="Arial" w:eastAsia="Arial" w:hAnsi="Arial"/>
          <w:sz w:val="16"/>
          <w:szCs w:val="16"/>
          <w:color w:val="auto"/>
        </w:rPr>
        <w:t>The other income, net of $56 for the three months ended September 30, 2023 included interest income and insurance recoveries of $28 and $17, respectively, and other income, net of $24 for the three months ended September 30, 2022 included interest income and income from pension and post retirement plans of $6 and $10, respectively. Other income, net of $101 for the nine months ended September 30, 2023, included interest income and insurance recoveries of $66 and $25, respectively, and $52 for the nine months ended September 30, 2022 included income from pension and post retirement plans, interest income and income from unconsolidated subsidiaries of $20, $12 and $11,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Capital expenditure related liabilities, included in accounts payable and accrued and other liabilities, were $120 and $149 at September 30, 2023 and September 30, 2022, respectively.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Interest, net of interest capitalized</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151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information:</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24"/>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3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i w:val="1"/>
          <w:iCs w:val="1"/>
          <w:color w:val="auto"/>
        </w:rPr>
        <w:t xml:space="preserve">Caustic Soda Antitrust. </w:t>
      </w:r>
      <w:r>
        <w:rPr>
          <w:rFonts w:ascii="Arial" w:cs="Arial" w:eastAsia="Arial" w:hAnsi="Arial"/>
          <w:sz w:val="16"/>
          <w:szCs w:val="16"/>
          <w:color w:val="auto"/>
        </w:rPr>
        <w:t>The Company and other caustic soda producers were named as defendants in multiple purported class action civil lawsuits</w:t>
      </w:r>
      <w:r>
        <w:rPr>
          <w:rFonts w:ascii="Arial" w:cs="Arial" w:eastAsia="Arial" w:hAnsi="Arial"/>
          <w:sz w:val="16"/>
          <w:szCs w:val="16"/>
          <w:i w:val="1"/>
          <w:iCs w:val="1"/>
          <w:color w:val="auto"/>
        </w:rPr>
        <w:t xml:space="preserve"> </w:t>
      </w:r>
      <w:r>
        <w:rPr>
          <w:rFonts w:ascii="Arial" w:cs="Arial" w:eastAsia="Arial" w:hAnsi="Arial"/>
          <w:sz w:val="16"/>
          <w:szCs w:val="16"/>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The defendants' joint motion to dismiss the direct purchaser lawsuits was denied. The defendants' joint motion to dismiss the indirect purchaser lawsuits was granted in part and denied in part. Both groups of cases have proceeded to discovery. On October 16, 2023, the Company entered into a settlement agreement whereby the Company agreed, subject to the terms and conditions of the settlement agreement, to pay $19 to the direct purchaser plaintiffs and in which the Company admits to no violations of law and will be released from liability and dismissed from the direct purchaser lawsuits with prejudice upon receipt of final court approval of the settlement. Preliminary court approval of the settlement has been requested and is pending. If the court grants such preliminary approval, notice of the settlement will be disseminated to the settlement class, and the settlement class members will, for a limited time period, have an opportunity to opt-out of or object to the settlement. The Company anticipates that, after any notice has been disseminated to the settlement class and any opt-out and objection period has closed, the settlement plaintiffs and settlement class will submit, and the Company will support, a motion for final approval of the settlement and entry of a final judgment in accordance with the terms of the settlement agreement. The Company reserved $19 during the three months ended September 30, 2023. Beginning in October 2020, similar class action proceedings were also filed in Canada before the Superior Court of Quebec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On December 10, 2021, the Superior Court of Quebec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7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Ethylene Antitrust</w:t>
      </w:r>
      <w:r>
        <w:rPr>
          <w:rFonts w:ascii="Arial" w:cs="Arial" w:eastAsia="Arial" w:hAnsi="Arial"/>
          <w:sz w:val="18"/>
          <w:szCs w:val="18"/>
          <w:color w:val="auto"/>
        </w:rPr>
        <w:t>. The Company and other ethylene consumers were named as defendants in a civil lawsuit filed by Shell Chemical Europe B.V.</w:t>
      </w:r>
      <w:r>
        <w:rPr>
          <w:rFonts w:ascii="Arial" w:cs="Arial" w:eastAsia="Arial" w:hAnsi="Arial"/>
          <w:sz w:val="18"/>
          <w:szCs w:val="18"/>
          <w:i w:val="1"/>
          <w:iCs w:val="1"/>
          <w:color w:val="auto"/>
        </w:rPr>
        <w:t xml:space="preserve"> </w:t>
      </w:r>
      <w:r>
        <w:rPr>
          <w:rFonts w:ascii="Arial" w:cs="Arial" w:eastAsia="Arial" w:hAnsi="Arial"/>
          <w:sz w:val="18"/>
          <w:szCs w:val="18"/>
          <w:color w:val="auto"/>
        </w:rPr>
        <w:t>("SCE") in March 2023 in the District Court of Amsterdam, the Netherlands, following the European Commission Decision AT.40410 – Ethylene from July 14, 2020. SCE is a producer of ethylene in the European market and the lawsuit alleges the defendants conspired to lower the purchase price for ethylene and ethylene derivatives by manipulating the monthly contract price. SCE initially sought declaratory relief. In October 2023, SCE amended its claim and is now seeking a judgment establishing that the Company and the co-defendants are jointly and severally liable for alleged damages in the amount of approximately €1,026 million with interest compounding daily from January 1, 2020 and continuing until payment in full, as provided by Dutch law, resulting from artificially lowered prices for ethylene and ethylene derivatives during the specified period. SCE is also seeking reimbursement of costs related to the proceeding plus statutory interest. In October 2023, the Company received a demand letter from a Dutch foundation named Stichting Ethylene Claims, asserting unspecified damages following the same alleged conduct. At this time, the Company is not able to estimate the impact, if any, that the SCE lawsuit and/or the demand letter could have on the Company's consolidated financial statements either in the current period or in future periods.</w:t>
      </w:r>
    </w:p>
    <w:p>
      <w:pPr>
        <w:spacing w:after="0" w:line="13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 xml:space="preserve">Triad Hunter. </w:t>
      </w:r>
      <w:r>
        <w:rPr>
          <w:rFonts w:ascii="Arial" w:cs="Arial" w:eastAsia="Arial" w:hAnsi="Arial"/>
          <w:sz w:val="16"/>
          <w:szCs w:val="16"/>
          <w:color w:val="auto"/>
        </w:rPr>
        <w:t>In April 2018, Triad Hunter, LLC ("Triad Hunter") filed suit against the Company and certain of its subsidiaries in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Pleas in Monroe County, Ohio seeking injunctive relief and alleging negligence and trespass at the Natrium Plant with respect to Triad Hunter's well drilling activities in Ohio. On October 27, 2022, the jury returned a verdict finding that the Company had committed trespass and was negligent in conducting salt mining operations at the Natrium Plant. Upon receipt of the jury verdict, the Company reserved approximately $70, for the damages awarded to Triad Hunter. The court subsequently denied Triad Hunter’s request to enjoin further solution mining from one of the brine fields at the Natrium Plant. On September 12, 2023, final judgment was entered in the amount of $70 with interest accruing at the rate of 5% from the date the judgment was rendered, as provided by law. The Company appealed the verdict and sought a stay of execution pending appeal on October 30, 2023.</w:t>
      </w:r>
    </w:p>
    <w:p>
      <w:pPr>
        <w:spacing w:after="0" w:line="11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Petro 2 Flash Fire and EDC Storage Tank Explosion. </w:t>
      </w:r>
      <w:r>
        <w:rPr>
          <w:rFonts w:ascii="Arial" w:cs="Arial" w:eastAsia="Arial" w:hAnsi="Arial"/>
          <w:sz w:val="17"/>
          <w:szCs w:val="17"/>
          <w:color w:val="auto"/>
        </w:rPr>
        <w:t>On September 27, 2021, shortly after the turnaround on Westlake Chemical OpCo LP's Petro 2</w:t>
      </w:r>
      <w:r>
        <w:rPr>
          <w:rFonts w:ascii="Arial" w:cs="Arial" w:eastAsia="Arial" w:hAnsi="Arial"/>
          <w:sz w:val="17"/>
          <w:szCs w:val="17"/>
          <w:i w:val="1"/>
          <w:iCs w:val="1"/>
          <w:color w:val="auto"/>
        </w:rPr>
        <w:t xml:space="preserve"> </w:t>
      </w:r>
      <w:r>
        <w:rPr>
          <w:rFonts w:ascii="Arial" w:cs="Arial" w:eastAsia="Arial" w:hAnsi="Arial"/>
          <w:sz w:val="17"/>
          <w:szCs w:val="17"/>
          <w:color w:val="auto"/>
        </w:rPr>
        <w:t>ethylene facility commenced, there was a flash fire at the quench tower of the Petro 2 facility. In January 2022, an ethylene dichloride storage tank exploded at one of the Company's Lake Charles, Louisiana, complex. Certain employees and contractors working on the sites at the time of the events were injured during these events. There are lawsuits pending in connection with these events and discovery is continuing. Settlements have been reached with a number of the plaintiffs in the lawsuits, and the Company has numerous insurance policies that provide coverage for these settlements. The Company has reserved for these settlements and recorded an insurance receivable. The Company was recently notified that for some of the insurance policies, retention levels for coverage may not apply until there is a higher amount of loss. The Company reserves all of its rights under the policies and at law to pursue recovery. At this time, the Company is unable to estimate the impact, if any, that these lawsuits could have on the Company’s consolidated financial statements either in the current period or in future periods.</w:t>
      </w:r>
    </w:p>
    <w:p>
      <w:pPr>
        <w:spacing w:after="0" w:line="12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auto"/>
        </w:rPr>
        <w:t xml:space="preserve">Environmental Contingencies. </w:t>
      </w:r>
      <w:r>
        <w:rPr>
          <w:rFonts w:ascii="Arial" w:cs="Arial" w:eastAsia="Arial" w:hAnsi="Arial"/>
          <w:sz w:val="17"/>
          <w:szCs w:val="17"/>
          <w:color w:val="auto"/>
        </w:rPr>
        <w:t>As of September 30, 2023 and December 31, 2022, the Company had reserves for environmental contingencies</w:t>
      </w:r>
      <w:r>
        <w:rPr>
          <w:rFonts w:ascii="Arial" w:cs="Arial" w:eastAsia="Arial" w:hAnsi="Arial"/>
          <w:sz w:val="17"/>
          <w:szCs w:val="17"/>
          <w:i w:val="1"/>
          <w:iCs w:val="1"/>
          <w:color w:val="auto"/>
        </w:rPr>
        <w:t xml:space="preserve"> </w:t>
      </w:r>
      <w:r>
        <w:rPr>
          <w:rFonts w:ascii="Arial" w:cs="Arial" w:eastAsia="Arial" w:hAnsi="Arial"/>
          <w:sz w:val="17"/>
          <w:szCs w:val="17"/>
          <w:color w:val="auto"/>
        </w:rPr>
        <w:t>totaling approximately $47 and $55,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7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Calvert City Proceedings. </w:t>
      </w:r>
      <w:r>
        <w:rPr>
          <w:rFonts w:ascii="Arial" w:cs="Arial" w:eastAsia="Arial" w:hAnsi="Arial"/>
          <w:sz w:val="16"/>
          <w:szCs w:val="16"/>
          <w:color w:val="auto"/>
        </w:rPr>
        <w:t>For several years, the Environmental Protection Agency (the "EPA") has been conducting remedial investigation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Avient Corporation (formerly known as PolyOne Corporation, "Avient"). On November 30, 2017, the EPA published a draft Proposed Plan, incorporating by reference an August 2015 draft Remedial Investigation ("RI") report, an October 2017 draft Feasibility Study ("FS") report and a Technical Impracticability Waiver document dated December 19, 2017. On June 18, 2018, the EPA published an amendment to its Proposed Plan. The amended Proposed Plan describes a final remedy for the onshore portion of the site comprised of a containment wall, targeted treatment and supplemental hydraulic containment. The amended Proposed Plan also describes an interim approach to address the contamination under the river that would include recovery of any mobile contaminants by an extraction well along with further study of the extent of the contamination and potential treatment options. The EPA's estimated cost of implementation is $107, with an estimated $1 to $3 in annual operation and maintenance ("O&amp;M") costs. In September 2018, the EPA published the Record of Decision ("ROD") for the site, formally selecting the preferred final and interim remedies outlined in the amended Proposed Plan. In October 2018, the EPA issued Special Notice letters to the PRPs for the remedial design phase of work under the ROD. In April 2019, the PRPs and the EPA entered into an administrative settlement agreement and order on consent for remedial design. In October 2019, the PRPs received special notice letters for the remedial action phase of work at the site. The Company, jointly with the other PRPs, submitted a good faith offer response in December 2019.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Company's allocation of liability for remedial and O&amp;M costs at the Calvert City site, if any, is governed by a series of agreements between the Company, Goodrich and Avient. These agreements and the associated litigation are described below.</w:t>
      </w:r>
    </w:p>
    <w:p>
      <w:pPr>
        <w:spacing w:after="0" w:line="11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connection with the 1990 and 1997 acquisitions of the Goodrich chemical manufacturing complex in Calvert City, Goodrich agreed to indemnify the Company for any liabilities related to preexisting contamination at the complex. For its part, the Company agreed to indemnify Goodrich for post-closing contamination caused by the Company's operations. The soil and groundwater at the complex, which does not include the Company's nearby PVC facility, had been extensively contaminated by Goodrich's operations. In 1993, Goodrich spun off the predecessor of Avient, and that predecessor assumed Goodrich's indemnification obligations relating to preexisting contamination. In 2003, litigation arose among the Company, Goodrich and Avient with respect to the allocation of the cost of remediating contamination at the site. The parties settled this litigation in December 2007 and the case was dismissed. In the settlement, the parties agreed that, among other things: (1) Avient would pay 100% of the costs (with specified exceptions), net of recoveries or credits from third parties, incurred with respect to environmental issues at the Calvert City site from August 1, 2007 forward; and (2) either the Company or Avient might, from time to time in the future (but not more than once every five years), institute an arbitration proceeding to adjust that percentage. In May 2017, Avient filed a demand for arbitration. In this proceeding, Avient sought to readjust the percentage allocation of future costs and to recover approximately $11 from the Company in reimbursement of previously paid remediation costs. The Company's cross demand for arbitration seeking unreimbursed remediation costs incurred during the relevant period was dismissed from the proceedings when Avient paid such costs in full at the beginning of the arbitration hearing.</w:t>
      </w:r>
    </w:p>
    <w:p>
      <w:pPr>
        <w:spacing w:after="0" w:line="13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July 10, 2018, Avient sued the Company in the U.S. District Court for the Western District of Kentucky and sought to invalidate the arbitration provisions in the parties' 2007 settlement agreement and enjoin the arbitration it had initiated in 2017. On July 30, 2018, the district court refused to enjoin the arbitration and, on January 15, 2019, the court granted the Company's motion to dismiss Avient's suit. On February 13, 2019, Avient appealed those decisions to the U.S. Court of Appeals for the Sixth Circuit. The court of appeals issued an opinion and final order on September 6, 2019, affirming the district court.</w:t>
      </w:r>
    </w:p>
    <w:p>
      <w:pPr>
        <w:spacing w:after="0" w:line="13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arbitration hearing began in August 2018 and concluded in December 2018. On May 22, 2019, the arbitration panel issued its final award. It determined that Avient was responsible for 100% of the allocable costs at issue in the proceeding and that Avient would remain responsible for 100% of the costs to operate the existing groundwater remedy at the Calvert City site. In August 2019, Avient filed a motion to vacate before the U.S. District Court for the Western District of Kentucky, seeking to invalidate the final award under the Federal Arbitration Act. On February 11, 2020, the U.S. District Court for the Western District of Kentucky denied Avient's motion to vacate and affirmed the arbitration final award. Avient did not file a notice of appeal before the March 10, 2020 deadline to contest the court's decision. Accordingly, the final award was affirmed, and the arbitration proceeding is fully and finally resolved.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March 2022, the Company filed a demand for arbitration seeking reimbursement for certain allocable costs incurred during the applicable period since May 2017, and which Avient has failed to pay or disputed as not subject to indemnity under the 1990 and 1997 agreements. In April 2022, Avient filed a complaint in the federal district court for the Western District of Kentucky disputing the enforceability of the 2007 settlement agreement and seeking to enjoin arbitration. Avient claims that the allocable costs at issue are up to $22, for which Avient claims the Company is totally liable. On September 30, 2023, the court issued an order denying without prejudice the parties’ cross motions for summary judgment and set a 30-day deadline for the parties to refile and provide additional briefing on specific aspects of the arguments before the court. The Company disputes these claims and at this time, the Company believes it is unlikely that any remediation costs allocable to it would result in material expenditures in any individual reporting period.</w:t>
      </w:r>
    </w:p>
    <w:p>
      <w:pPr>
        <w:spacing w:after="0" w:line="11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i w:val="1"/>
          <w:iCs w:val="1"/>
          <w:color w:val="auto"/>
        </w:rPr>
        <w:t>Environmental Remediation: Reasonably Possible Matters</w:t>
      </w:r>
      <w:r>
        <w:rPr>
          <w:rFonts w:ascii="Arial" w:cs="Arial" w:eastAsia="Arial" w:hAnsi="Arial"/>
          <w:sz w:val="17"/>
          <w:szCs w:val="17"/>
          <w:color w:val="auto"/>
        </w:rPr>
        <w:t>. The Company's assessment of the potential impact of environmental contingencies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the Company may be subject to reasonably possible loss contingencies related to environmental matters in the range of $75 to $135.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94"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Company operates in two principal operating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external sales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Materials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r>
      <w:tr>
        <w:trPr>
          <w:trHeight w:val="223"/>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23"/>
        </w:trPr>
        <w:tc>
          <w:tcPr>
            <w:tcW w:w="520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Intersegment sales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(benefit from)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5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265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total segment income from operations to consolidated income before income taxes is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0" w:lineRule="exact"/>
        <w:rPr>
          <w:sz w:val="20"/>
          <w:szCs w:val="20"/>
          <w:color w:val="auto"/>
        </w:rPr>
      </w:pPr>
    </w:p>
    <w:p>
      <w:pPr>
        <w:jc w:val="center"/>
        <w:ind w:left="8540"/>
        <w:spacing w:after="0"/>
        <w:rPr>
          <w:sz w:val="20"/>
          <w:szCs w:val="20"/>
          <w:color w:val="auto"/>
        </w:rPr>
      </w:pPr>
      <w:r>
        <w:rPr>
          <w:rFonts w:ascii="Arial" w:cs="Arial" w:eastAsia="Arial" w:hAnsi="Arial"/>
          <w:sz w:val="12"/>
          <w:szCs w:val="12"/>
          <w:b w:val="1"/>
          <w:bCs w:val="1"/>
          <w:color w:val="auto"/>
        </w:rPr>
        <w:t>September 30,</w:t>
      </w:r>
    </w:p>
    <w:p>
      <w:pPr>
        <w:spacing w:after="0" w:line="13"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December 31,</w:t>
      </w:r>
    </w:p>
    <w:p>
      <w:pPr>
        <w:spacing w:after="0" w:line="13"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15" w:lineRule="exact"/>
        <w:rPr>
          <w:sz w:val="20"/>
          <w:szCs w:val="20"/>
          <w:color w:val="auto"/>
        </w:rPr>
      </w:pPr>
    </w:p>
    <w:p>
      <w:pPr>
        <w:sectPr>
          <w:pgSz w:w="11900" w:h="16838" w:orient="portrait"/>
          <w:cols w:equalWidth="0" w:num="2">
            <w:col w:w="9420" w:space="680"/>
            <w:col w:w="1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13,990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13,978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Westlake Chemical Partners LP</w:t>
      </w:r>
    </w:p>
    <w:p>
      <w:pPr>
        <w:spacing w:after="0" w:line="10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16" w:lineRule="exact"/>
        <w:rPr>
          <w:sz w:val="20"/>
          <w:szCs w:val="20"/>
          <w:color w:val="auto"/>
        </w:rPr>
      </w:pPr>
    </w:p>
    <w:p>
      <w:pPr>
        <w:ind w:right="280" w:firstLine="405"/>
        <w:spacing w:after="0" w:line="311" w:lineRule="auto"/>
        <w:rPr>
          <w:sz w:val="20"/>
          <w:szCs w:val="20"/>
          <w:color w:val="auto"/>
        </w:rPr>
      </w:pPr>
      <w:r>
        <w:rPr>
          <w:rFonts w:ascii="Arial" w:cs="Arial" w:eastAsia="Arial" w:hAnsi="Arial"/>
          <w:sz w:val="16"/>
          <w:szCs w:val="16"/>
          <w:color w:val="auto"/>
        </w:rPr>
        <w:t>As of September 30, 2023,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9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September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2022 (the "2022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("PVC") into our building products, PVC pipes and fittings and PVC compounds in our Housing and Infrastructure Products segment.</w:t>
      </w:r>
    </w:p>
    <w:p>
      <w:pPr>
        <w:spacing w:after="0" w:line="12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2022 and continuing through the third quarter of 2023, our European businesses have been impacted by higher energy prices, inflation and reduced demand. Our North American businesses, where we derive a significant portion of our revenue, have also experienced the impacts of high energy costs and interest rates and slower demand for most of our products since the second half of 2022. However, in recent months we have experienced lower energy costs as prices for electricity and natural gas have declined following the elevated 2022 levels and inflation appears to be easing. In the near term, we expect that volatility in energy prices, higher interest rates, inflation and other macroeconomic conditions will continue to reduce margins and demand for most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w:t>
      </w:r>
    </w:p>
    <w:p>
      <w:pPr>
        <w:spacing w:after="0" w:line="104"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performance and essential materials such as ethylene, PVC, polyethylene, epoxy and caustic soda are some of the most widely used products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food and specialty packaging; industrial and consumer packaging; medical health applications; PVC pipe applications; consumer durables; mobility and transportation; renewable wind energy; coatings; and housing and construction products.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 We are also a leading supplier of Liquid and Solid Epoxy Resin. These base epoxies are used in a wide variety of industrial coatings applications.</w:t>
      </w:r>
    </w:p>
    <w:p>
      <w:pPr>
        <w:spacing w:after="0" w:line="11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Global demand for most of our products started to recover from the effects of the COVID-19 pandemic in the second half of 2020 and remained strong through the first half of 2022. However, since the second half of 2022 and continuing so far in 2023, we have seen significant volatility in natural gas and electricity prices, particularly in Europe, as well as in ethane and ethylene prices. We have also experienced lower prices and reduced demand for most of our products globally. The ongoing conflict between Russia and Ukraine, the recent conflict in the Middle East, the slow economic growth of China, the timing of certain new ethylene and polyethylene capacity additions in North America, Asia, and the Middle East, volatility in natural gas and electricity prices, volatility in crude oil prices and inflationary pressures could have a continuing negative impact on the performance of Performance and Essential Materials businesses.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As noted in Item 1A, "Risk Factors" in our 2022 Form 10-K, we are subject to extensive environmental regulations, which may impose significant additional costs on our operations in the future. Further, concerns about greenhouse gas ("GHG") emissions and their effects on climate change has led to the enactment of regulations, and to proposed legislation and additional regulations, that could affect us in the form of increased cost of feedstocks and fuel, other increased costs of production and decreased demand for our products. The adoption and implementation of any international, federal or state legislation or regulations that restrict emissions of GHGs could result in increased compliance costs or additional operating restrictions.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w:t>
      </w:r>
    </w:p>
    <w:p>
      <w:pPr>
        <w:spacing w:after="0" w:line="90"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Our Housing and Infrastructure Products segment is primarily comprised of building products, PVC pipes and fittings and PVC compound products. Our sales are affected by the individual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due to the negative effect that rising mortgage rates in the United States had on buyer sentiment. Performance of our housing and infrastructure products businesses over time are generally reflective of the trends of building permits and housing starts in the New Residential Construction Survey by the U.S. Census Bureau and the Repair and Remodeling Index provided by the National Association of Home Builders, among others. Although we ultimately expect that the Infrastructure Investment and Jobs Act of 2021 and historically low residential housing construction may have a favorable long-term impact on certain industries related to our Housing and Infrastructure Products segment, the current inflationary environment impacting consumer spending and priorities, high interest rates, decade high mortgage interest rates impacting consumer affordability are expected to continue to have an unfavorable impact on the demand for housing construction and, as a result, our products produced by this segment. The lower demand for new housing construction as a result of factors discussed above, however, could encourage homeowner to remodel and repair existing homes, which could have a favorable impact on our product sales in this segment.</w:t>
      </w:r>
    </w:p>
    <w:p>
      <w:pPr>
        <w:spacing w:after="0" w:line="132"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Factors that have caused volatility in our raw material prices, energy costs and production processes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tariffs,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3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EBITDA and Free Cash Flow are not substitutes for the GAAP measures of net income, income from operations or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1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External Sales</w:t>
      </w:r>
    </w:p>
    <w:p>
      <w:pPr>
        <w:spacing w:after="0" w:line="104" w:lineRule="exact"/>
        <w:rPr>
          <w:sz w:val="20"/>
          <w:szCs w:val="20"/>
          <w:color w:val="auto"/>
        </w:rPr>
      </w:pPr>
    </w:p>
    <w:p>
      <w:pPr>
        <w:jc w:val="both"/>
        <w:ind w:right="220" w:firstLine="405"/>
        <w:spacing w:after="0" w:line="257" w:lineRule="auto"/>
        <w:rPr>
          <w:sz w:val="20"/>
          <w:szCs w:val="20"/>
          <w:color w:val="auto"/>
        </w:rPr>
      </w:pPr>
      <w:r>
        <w:rPr>
          <w:rFonts w:ascii="Arial" w:cs="Arial" w:eastAsia="Arial" w:hAnsi="Arial"/>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styrene, and related derivative materials. Housing Products net external sales primarily consist of sales of housing exterior and interior products, residential pipes and fittings and residential PVC compounds. Infrastructure Products net external sales primarily consist of sales of non-residential pipes and fittings and non-residential PVC compounds.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Materials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Housing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 income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Net income attributable to Westlake Corporation</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900" w:type="dxa"/>
            <w:vAlign w:val="bottom"/>
            <w:tcBorders>
              <w:bottom w:val="single" w:sz="8" w:color="auto"/>
            </w:tcBorders>
          </w:tcPr>
          <w:p>
            <w:pPr>
              <w:jc w:val="right"/>
              <w:ind w:right="714"/>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(2)</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jc w:val="right"/>
              <w:ind w:right="3950"/>
              <w:spacing w:after="0"/>
              <w:rPr>
                <w:sz w:val="20"/>
                <w:szCs w:val="20"/>
                <w:color w:val="auto"/>
              </w:rPr>
            </w:pPr>
            <w:r>
              <w:rPr>
                <w:rFonts w:ascii="Arial" w:cs="Arial" w:eastAsia="Arial" w:hAnsi="Arial"/>
                <w:sz w:val="18"/>
                <w:szCs w:val="18"/>
                <w:color w:val="auto"/>
                <w:w w:val="89"/>
              </w:rPr>
              <w:t>_____________</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20" w:type="dxa"/>
            <w:vAlign w:val="bottom"/>
            <w:gridSpan w:val="2"/>
            <w:vMerge w:val="continue"/>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40" w:hanging="492"/>
        <w:spacing w:after="0" w:line="277" w:lineRule="auto"/>
        <w:tabs>
          <w:tab w:leader="none" w:pos="49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above for discussions on non-GAAP financial measures. See "Reconciliation of EBITDA to Net Income, Income from Operations and Net Cash Provided by Operating Activities" below.</w:t>
      </w:r>
    </w:p>
    <w:p>
      <w:pPr>
        <w:spacing w:after="0" w:line="8" w:lineRule="exact"/>
        <w:rPr>
          <w:rFonts w:ascii="Arial" w:cs="Arial" w:eastAsia="Arial" w:hAnsi="Arial"/>
          <w:sz w:val="18"/>
          <w:szCs w:val="18"/>
          <w:color w:val="auto"/>
        </w:rPr>
      </w:pPr>
    </w:p>
    <w:p>
      <w:pPr>
        <w:ind w:left="500" w:right="100" w:hanging="492"/>
        <w:spacing w:after="0" w:line="277" w:lineRule="auto"/>
        <w:tabs>
          <w:tab w:leader="none" w:pos="49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80" w:hanging="242"/>
        <w:spacing w:after="0" w:line="245" w:lineRule="auto"/>
        <w:rPr>
          <w:sz w:val="20"/>
          <w:szCs w:val="20"/>
          <w:color w:val="auto"/>
        </w:rPr>
      </w:pPr>
      <w:r>
        <w:rPr>
          <w:rFonts w:ascii="Arial" w:cs="Arial" w:eastAsia="Arial" w:hAnsi="Arial"/>
          <w:sz w:val="18"/>
          <w:szCs w:val="18"/>
          <w:b w:val="1"/>
          <w:bCs w:val="1"/>
          <w:color w:val="auto"/>
        </w:rPr>
        <w:t>Net sales percentage change from prior-year period due to average sales price and volume</w:t>
      </w:r>
    </w:p>
    <w:p>
      <w:pPr>
        <w:spacing w:after="0" w:line="1" w:lineRule="exact"/>
        <w:rPr>
          <w:sz w:val="20"/>
          <w:szCs w:val="20"/>
          <w:color w:val="auto"/>
        </w:rPr>
      </w:pPr>
    </w:p>
    <w:p>
      <w:pPr>
        <w:jc w:val="both"/>
        <w:ind w:left="40" w:right="1820"/>
        <w:spacing w:after="0" w:line="329" w:lineRule="auto"/>
        <w:rPr>
          <w:sz w:val="20"/>
          <w:szCs w:val="20"/>
          <w:color w:val="auto"/>
        </w:rPr>
      </w:pPr>
      <w:r>
        <w:rPr>
          <w:rFonts w:ascii="Arial" w:cs="Arial" w:eastAsia="Arial" w:hAnsi="Arial"/>
          <w:sz w:val="16"/>
          <w:szCs w:val="16"/>
          <w:color w:val="auto"/>
        </w:rPr>
        <w:t>Performance and Essential Materials Housing and Infrastructure Products Company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4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September 30, 2023</w:t>
            </w:r>
          </w:p>
        </w:tc>
        <w:tc>
          <w:tcPr>
            <w:tcW w:w="3120" w:type="dxa"/>
            <w:vAlign w:val="bottom"/>
            <w:gridSpan w:val="3"/>
          </w:tcPr>
          <w:p>
            <w:pPr>
              <w:ind w:left="320"/>
              <w:spacing w:after="0"/>
              <w:rPr>
                <w:sz w:val="20"/>
                <w:szCs w:val="20"/>
                <w:color w:val="auto"/>
              </w:rPr>
            </w:pPr>
            <w:r>
              <w:rPr>
                <w:rFonts w:ascii="Arial" w:cs="Arial" w:eastAsia="Arial" w:hAnsi="Arial"/>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6"/>
        </w:trPr>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6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20" w:type="dxa"/>
            <w:vAlign w:val="bottom"/>
            <w:vMerge w:val="restart"/>
          </w:tcPr>
          <w:p>
            <w:pPr>
              <w:spacing w:after="0"/>
              <w:rPr>
                <w:sz w:val="11"/>
                <w:szCs w:val="11"/>
                <w:color w:val="auto"/>
              </w:rPr>
            </w:pPr>
          </w:p>
        </w:tc>
        <w:tc>
          <w:tcPr>
            <w:tcW w:w="16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Sales Price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Sales Price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7115175"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384"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89"/>
              </w:rPr>
              <w:t>-26 %</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-1 %</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-20 %</w:t>
            </w:r>
          </w:p>
        </w:tc>
        <w:tc>
          <w:tcPr>
            <w:tcW w:w="1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1060" w:type="dxa"/>
            <w:vAlign w:val="bottom"/>
          </w:tcPr>
          <w:p>
            <w:pPr>
              <w:jc w:val="right"/>
              <w:ind w:right="530"/>
              <w:spacing w:after="0"/>
              <w:rPr>
                <w:sz w:val="20"/>
                <w:szCs w:val="20"/>
                <w:color w:val="auto"/>
              </w:rPr>
            </w:pPr>
            <w:r>
              <w:rPr>
                <w:rFonts w:ascii="Arial" w:cs="Arial" w:eastAsia="Arial" w:hAnsi="Arial"/>
                <w:sz w:val="18"/>
                <w:szCs w:val="18"/>
                <w:color w:val="auto"/>
              </w:rPr>
              <w:t>-8 %</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-2 %</w:t>
            </w: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1060" w:type="dxa"/>
            <w:vAlign w:val="bottom"/>
          </w:tcPr>
          <w:p>
            <w:pPr>
              <w:jc w:val="right"/>
              <w:ind w:right="530"/>
              <w:spacing w:after="0"/>
              <w:rPr>
                <w:sz w:val="20"/>
                <w:szCs w:val="20"/>
                <w:color w:val="auto"/>
              </w:rPr>
            </w:pPr>
            <w:r>
              <w:rPr>
                <w:rFonts w:ascii="Arial" w:cs="Arial" w:eastAsia="Arial" w:hAnsi="Arial"/>
                <w:sz w:val="18"/>
                <w:szCs w:val="18"/>
                <w:color w:val="auto"/>
                <w:w w:val="89"/>
              </w:rPr>
              <w:t>-20 %</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-1 %</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-15 %</w:t>
            </w:r>
          </w:p>
        </w:tc>
        <w:tc>
          <w:tcPr>
            <w:tcW w:w="14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598"/>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Three Months Ended</w:t>
            </w:r>
          </w:p>
        </w:tc>
        <w:tc>
          <w:tcPr>
            <w:tcW w:w="1480" w:type="dxa"/>
            <w:vAlign w:val="bottom"/>
          </w:tcPr>
          <w:p>
            <w:pPr>
              <w:jc w:val="right"/>
              <w:ind w:right="37"/>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tcPr>
          <w:p>
            <w:pPr>
              <w:jc w:val="right"/>
              <w:ind w:right="237"/>
              <w:spacing w:after="0"/>
              <w:rPr>
                <w:sz w:val="20"/>
                <w:szCs w:val="20"/>
                <w:color w:val="auto"/>
              </w:rPr>
            </w:pPr>
            <w:r>
              <w:rPr>
                <w:rFonts w:ascii="Arial" w:cs="Arial" w:eastAsia="Arial" w:hAnsi="Arial"/>
                <w:sz w:val="14"/>
                <w:szCs w:val="14"/>
                <w:b w:val="1"/>
                <w:bCs w:val="1"/>
                <w:color w:val="auto"/>
              </w:rPr>
              <w:t>September 30, 2023</w:t>
            </w:r>
          </w:p>
        </w:tc>
        <w:tc>
          <w:tcPr>
            <w:tcW w:w="1480" w:type="dxa"/>
            <w:vAlign w:val="bottom"/>
          </w:tcPr>
          <w:p>
            <w:pPr>
              <w:jc w:val="right"/>
              <w:ind w:right="57"/>
              <w:spacing w:after="0"/>
              <w:rPr>
                <w:sz w:val="20"/>
                <w:szCs w:val="20"/>
                <w:color w:val="auto"/>
              </w:rPr>
            </w:pPr>
            <w:r>
              <w:rPr>
                <w:rFonts w:ascii="Arial" w:cs="Arial" w:eastAsia="Arial" w:hAnsi="Arial"/>
                <w:sz w:val="14"/>
                <w:szCs w:val="14"/>
                <w:b w:val="1"/>
                <w:bCs w:val="1"/>
                <w:color w:val="auto"/>
              </w:rPr>
              <w:t>September 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-805815</wp:posOffset>
            </wp:positionV>
            <wp:extent cx="711517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00" w:space="360"/>
            <w:col w:w="638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Domestic US prices percentage change from prior-year period for fuel cost and feedstock</w:t>
            </w: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Fuel cost (Natural Gas)</w:t>
            </w:r>
          </w:p>
        </w:tc>
        <w:tc>
          <w:tcPr>
            <w:tcW w:w="156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(Ethane)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to Net Income, Income from Operations and Net Cash Provided by Operating Activities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18"/>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Add:</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Free Cash Flow to Net Cash Provided by Operating Activities</w:t>
      </w:r>
    </w:p>
    <w:p>
      <w:pPr>
        <w:spacing w:after="0" w:line="10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the reconciliation of Free Cash Flow to net cash provided by operating activities, the most directly comparable GAAP financial measure,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18"/>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86"/>
              </w:rPr>
              <w:t>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93"/>
              </w:rPr>
              <w:t>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56"/>
              <w:spacing w:after="0"/>
              <w:rPr>
                <w:sz w:val="20"/>
                <w:szCs w:val="20"/>
                <w:color w:val="auto"/>
              </w:rPr>
            </w:pPr>
            <w:r>
              <w:rPr>
                <w:rFonts w:ascii="Arial" w:cs="Arial" w:eastAsia="Arial" w:hAnsi="Arial"/>
                <w:sz w:val="18"/>
                <w:szCs w:val="18"/>
                <w:color w:val="auto"/>
                <w:w w:val="90"/>
              </w:rPr>
              <w:t>(245)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color w:val="auto"/>
                <w:w w:val="95"/>
              </w:rPr>
              <w:t>(318)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86"/>
              </w:rPr>
              <w:t>451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w w:val="93"/>
              </w:rPr>
              <w:t>629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For the quarter ended September 30, 2023, net income attributable to Westlake was $285 million, or $2.20 per diluted share, on net sales of $3,115 million. This represents a decrease in net income attributable to Westlake of $116 million, or $0.90 per diluted share, compared to the quarter ended September 30, 2022 net income attributable to Westlake of $401 million, or $3.10 per diluted share, on net sales of $3,956 million. Income from operations for the quarter ended September 30, 2023 was $349 million, a $167 million decrease from income from operations of $516 million for the quarter ended September 30, 2022. The decrease in net income and income from operations was primarily due to lower sales prices for most of our products resulting from the continuing weaker global demand. The decreases in net income and income from operations in the third quarter of 2023 were partially offset by lower natural gas and feedstock costs. Net sales decreased by $841 million to $3,115 million in the quarter ended September 30, 2023 from $3,956 million in the quarter ended September 30, 2022, primarily due to lower sales prices and slightly lower volumes for most of our products.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nine months ended September 30, 2023, net income attributable to Westlake was $976 million, or $7.56 per diluted share, on net sales of</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$9,722 million. This represents a decrease in net income attributable to Westlake of $1,039 million, or $7.98 per diluted share, compared to the nine months ended September 30, 2022 net income attributable to Westlake of $2,015 million, or $15.54 per diluted share, on net sales of $12,495 million. Income from operations for the nine months ended September 30, 2023 was $1,281 million, a $1,442 million decrease from income from operations of $2,723 million for the nine months ended September 30, 2022. The decrease in net income and income from operations was primarily due to lower sales prices and volumes for most of our products resulting from weaker global demand and planned and unplanned outages. The decreases in net income and income from operations in the nine months ended September 30, 2023 were partially offset by higher caustic soda and chlorine sales prices, lower natural gas and feedstock costs and lower amortization of intangibles. Net income was also favorably impacted by higher interest income. Net sales decreased by $2,773 million to $9,722 million in the nine months ended September 30, 2023 from $12,495 million in the nine months ended September 30, 2022, primarily due to lower sales prices and volumes for most of our products, partially offset by higher sales prices for caustic soda and chlorine.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 Compared with Third Quarter 2022</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$841 million, or 21%, to $3,115 million in the third quarter of 2023 from $3,956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lower sales prices for most of our products. Average sales prices for the third quarter of 2023 decreased by 20% as compared to the third quarter of 2022 due to continuing weaker demand for most of our products across both the segments. Sales volumes decreased slightly by 1% in the third quarter of 2023 as compared to the third quarter of 2022.</w:t>
      </w:r>
    </w:p>
    <w:p>
      <w:pPr>
        <w:spacing w:after="0" w:line="133"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margin percentage was 19% in the third quarter of 2023 as compared to 20% in the third quarter of 2022. The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profit margin was primarily due to lower prices for most of our products, which was partially offset by lower natural gas and feedstock costs.</w:t>
      </w:r>
    </w:p>
    <w:p>
      <w:pPr>
        <w:spacing w:after="0" w:line="70"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by $9 million to $206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2023 as compared to $215 million in the third quarter of 2022. This decrease was mainly due to lower selling expenses associated with the decline in net sales.</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expense decreased by $8 million to $31 million in the third quarter of 2023, from $39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2022, primarily due to the end of useful lives of certain intangible assets within the Housing and Infrastructure Products segment during the third quarter of 2022.</w:t>
      </w:r>
    </w:p>
    <w:p>
      <w:pPr>
        <w:spacing w:after="0" w:line="13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$4 million to $40 million in the third quarter of 2023 from $44 million in the third quarter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capitalized interest on capital projects.</w:t>
      </w:r>
    </w:p>
    <w:p>
      <w:pPr>
        <w:spacing w:after="0" w:line="116"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increased by $32 million to $56 million in the third quarter of 2023 from $24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substantially due to higher interest income attributable to a higher average cash and cash equivalents balance and higher interest rates in the current period and insurance recoveries in the third quarter of 2023.</w:t>
      </w:r>
    </w:p>
    <w:p>
      <w:pPr>
        <w:spacing w:after="0" w:line="13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19.2% for the third quarter of 2023 as compared to 16.9% for the third quarter of 2022.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in the third quarter of 2023 was higher compared to the third quarter of 2022 primarily due to an increase in reserves for uncertain income tax positions for the third quarter of 2023 and lower U.S. federal research and development credits available to the Company for the third quarter of 2023 as compared to the third quarter of 2022.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 Segment</w:t>
      </w:r>
    </w:p>
    <w:p>
      <w:pPr>
        <w:spacing w:after="0" w:line="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Performance and Essential Materials segment decreased by $740 million, or 27%, to $1,971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$2,711 million in the third quarter of 2022. Average sales prices for the Performance and Essential Materials segment decreased by 26% in the third quarter of 2023 as compared to the third quarter of 2022. Lower Performance Materials sales prices were primarily due to lower PVC resin, polyethylene and epoxy sales prices. Lower Essential Materials sales prices were primarily due to lower caustic soda and chlorine sales prices. Our average sales prices were negatively impacted by both market price declines and a higher portion of sales made in export markets where pricing is typically lower. Sales volumes for the Performance and Essential Materials segment decreased slightly by 1% in the third quarter of 2023 as compared to the third quarter of 2022.</w:t>
      </w:r>
    </w:p>
    <w:p>
      <w:pPr>
        <w:spacing w:after="0" w:line="141"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for the Performance and Essential Materials segment decreased by $248 million to $105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2023 from $353 million in the third quarter of 2022. This decrease in income from operations in the third quarter of 2023, as compared to the third quarter of 2022, was primarily due to lower PVC resin, polyethylene, epoxy and caustic soda sales prices, partially offset by lower natural gas and feedstock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 Segment</w:t>
      </w:r>
    </w:p>
    <w:p>
      <w:pPr>
        <w:spacing w:after="0" w:line="104"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the Housing and Infrastructure Products segment decreased by $101 million, or 8%, to $1,144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2023 from $1,245 million in the third quarter of 2022. Average sales prices for the Housing and Infrastructure Products segment decreased by 8% in the third quarter of 2023 as compared to the third quarter of 2022, primarily due to lower sales prices across all of our products in this segment. While overall sales volume in the third quarter of 2023 remained consistent with the prior-year period, we experienced solid growth in select categories such as siding and trim and municipal water systems in the third quarter of 2023, which was offset by lower sales volumes for PVC compounds.</w:t>
      </w:r>
    </w:p>
    <w:p>
      <w:pPr>
        <w:spacing w:after="0" w:line="107"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for the Housing and Infrastructure Products segment increased by $70 million to $256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2023 from $186 million in the third quarter of 2022. This increase in income from operations in the third quarter of 2023, as compared to the third quarter of 2022, was primarily due to lower raw material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with Nine Months Ended September 30, 2022</w:t>
      </w:r>
    </w:p>
    <w:p>
      <w:pPr>
        <w:spacing w:after="0" w:line="10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$2,773 million, or 22%, to $9,722 million in the nine months ended September 30, 2023 from $12,495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2022, primarily due to lower sales prices and volumes for most of our products, partially offset by higher caustic soda and chlorine sales prices. Average sales prices for the nine months ended September 30, 2023 decreased by 15% as compared to the nine months ended September 30, 2022, due to continuing weaker demand for most of our products, partially offset by higher sales prices for caustic soda and chlorine. Sales volumes decreased by 8% for the nine months ended September 30, 2023 as compared to the nine months ended September 30, 2022, substantially due to weaker global demand for many of our products across both the segments.</w:t>
      </w:r>
    </w:p>
    <w:p>
      <w:pPr>
        <w:spacing w:after="0" w:line="124"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was 21% in the nine months ended September 30, 2023 as compared to 28%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decrease in gross profit margin was primarily due to lower prices for most of our products, which was partially offset by higher prices for caustic soda and chlorine as well as lower natural gas and feedstock costs.</w:t>
      </w:r>
    </w:p>
    <w:p>
      <w:pPr>
        <w:spacing w:after="0" w:line="130" w:lineRule="exact"/>
        <w:rPr>
          <w:sz w:val="20"/>
          <w:szCs w:val="20"/>
          <w:color w:val="auto"/>
        </w:rPr>
      </w:pPr>
    </w:p>
    <w:p>
      <w:pPr>
        <w:ind w:right="380" w:firstLine="405"/>
        <w:spacing w:after="0" w:line="28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$6 million to $641 million in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2023 as compared to $635 million in the nine months ended September 30, 2022. This increase was mainly due to higher compensation expenses and a full nine months of selling, general, and administrative expenses in the current period for the epoxy business acquired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February 2022, partially offset by lower selling expenses associated with the decline in net sales</w:t>
      </w:r>
      <w:r>
        <w:rPr>
          <w:rFonts w:ascii="Arial" w:cs="Arial" w:eastAsia="Arial" w:hAnsi="Arial"/>
          <w:sz w:val="21"/>
          <w:szCs w:val="21"/>
          <w:i w:val="1"/>
          <w:iCs w:val="1"/>
          <w:color w:val="auto"/>
        </w:rPr>
        <w:t>.</w:t>
      </w:r>
    </w:p>
    <w:p>
      <w:pPr>
        <w:spacing w:after="0" w:line="163"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expense decreased by $32 million to $92 million in the nine months ended September 30,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$124 million in the nine months ended September 30, 2022, primarily due to the end of useful lives of certain intangible assets within the Housing and Infrastructure Products segment during the third quarter of 2022.</w:t>
      </w:r>
    </w:p>
    <w:p>
      <w:pPr>
        <w:spacing w:after="0" w:line="130"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i w:val="1"/>
          <w:iCs w:val="1"/>
          <w:color w:val="auto"/>
        </w:rPr>
        <w:t xml:space="preserve">Restructuring, Transaction and Integration-Related Costs. </w:t>
      </w:r>
      <w:r>
        <w:rPr>
          <w:rFonts w:ascii="Arial" w:cs="Arial" w:eastAsia="Arial" w:hAnsi="Arial"/>
          <w:sz w:val="18"/>
          <w:szCs w:val="18"/>
          <w:color w:val="auto"/>
        </w:rPr>
        <w:t>Restructuring, transaction and integration-related costs decreased by $18 million to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September 30, 2023, from $24 million in the nine months ended September 30, 2022, primarily due to decreased integration activity related to the businesses acquired in previous years.</w:t>
      </w:r>
    </w:p>
    <w:p>
      <w:pPr>
        <w:spacing w:after="0" w:line="13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$10 million to $124 million in the nine months ended September 30, 2023 from $134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2022, primarily due to the repayment of $269 million of debt during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increased by $49 million to $101 million in the nine months ended September 30, 2023 from $52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2022, substantially due to higher interest income attributable to a higher average cash and cash equivalents balance and higher interest rates in the current period and insurance recoveries in the nine months ended September 30, 2023.</w:t>
      </w:r>
    </w:p>
    <w:p>
      <w:pPr>
        <w:spacing w:after="0" w:line="1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19.8% for the nine months ended September 30, 2023 as compared to 22.4%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The effective tax rate for the nine months ended September 30, 2023 was lower compared to the nine months ended September 30, 2022 primarily due to higher U.S. federal research and development credits available for the Company in the nine months ended September 30, 2023 as compared to the nine months ended September 30, 2022. Additionally, the effective tax rate was lower due to the reduction of reserves for uncertain income tax positions as a result of a closed federal income tax audit as well as a decrease in state and foreign taxes, partially offset by an increase in reserves for uncertain income tax positions.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 Segment</w:t>
      </w:r>
    </w:p>
    <w:p>
      <w:pPr>
        <w:spacing w:after="0" w:line="9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Performance and Essential Materials segment decreased by $2,191 million, or 25%, to $6,456 million in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from $8,647 million in the nine months ended September 30, 2022, primarily resulting from lower global demand for most of our products across our businesses under this segment. Average sales prices for the Performance and Essential Materials segment decreased by 20% in the nine months ended September 30, 2023 as compared to the nine months ended September 30, 2022. Lower Performance Materials sales prices were primarily due to lower PVC resin, polyethylene and epoxy sales prices. This decrease was partially offset by higher Essential Materials sales prices due to higher caustic soda and chlorine sales prices. Sales volumes for the Performance and Essential Materials segment decreased by 5% in the nine months ended September 30, 2023 as compared to the nine months ended September 30, 2022.</w:t>
      </w:r>
    </w:p>
    <w:p>
      <w:pPr>
        <w:spacing w:after="0" w:line="12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for the Performance and Essential Materials segment decreased by $1,474 million to $723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2023 from $2,197 million in the nine months ended September 30, 2022. This decrease in income from operations in the nine months ended September 30, 2023, as compared to the nine months ended September 30, 2022, was primarily due to lower PVC resin, polyethylene and epoxy sales prices and volumes, lower sales volumes for caustic soda and planned and unplanned outages, partially offset by higher caustic soda and chlorine sales prices and lower natural gas and feedstock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 Segment</w:t>
      </w:r>
    </w:p>
    <w:p>
      <w:pPr>
        <w:spacing w:after="0" w:line="104"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Housing and Infrastructure Products segment decreased by $582 million, or 15%, to $3,266 million in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2023 from $3,848 million in the nine months ended September 30, 2022, Our businesses in the Housing and Infrastructure Products segment experienced lower demand in the nine months ended September 30, 2023 as compared to the nine months ended September 30, 2022, which resulted in a 13% decrease in sales volume for the segment. Average sales prices for the Housing and Infrastructure Products segment decreased slightly by 2% in the nine months ended September 30, 2023, as compared to the nine months ended September 30, 2022</w:t>
      </w:r>
    </w:p>
    <w:p>
      <w:pPr>
        <w:spacing w:after="0" w:line="107" w:lineRule="exact"/>
        <w:rPr>
          <w:sz w:val="20"/>
          <w:szCs w:val="20"/>
          <w:color w:val="auto"/>
        </w:rPr>
      </w:pPr>
    </w:p>
    <w:p>
      <w:pPr>
        <w:jc w:val="both"/>
        <w:ind w:right="200" w:firstLine="405"/>
        <w:spacing w:after="0" w:line="275"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Income from operations for the Housing and Infrastructure Products segment decreased by $18 million to $589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2023 from $607 million in the nine months ended September 30, 2022. This decrease in income from operations in the nine months ended September 30, 2023, as compared to the nine months ended September 30, 2022, was primarily due to lower sales volumes across most of our housing and infrastructure businesses and lower sales prices for PVC compounds and pipe and fittings, partially offset by higher sales prices for some of our building products and lower raw material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 FOR THE NINE MONTHS ENDED SEPTEMBER 30, 2023 AND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Operating activities provided cash of $1,763 million in the first nine months of 2023 compared to cash provided by operating activities of $2,560 million in the first nine months of 2022. The $797 million decrease in cash flows from operating activities was mainly due to a decrease in income from operations primarily due to lower prices and demand for most of our products, partially offset by favorable changes in working capital. Changes in components of working capital, which we define for purposes of this cash flow discussion as accounts receivable, inventories, prepaid expenses and other current assets, less accounts payable and accrued and other liabilities, provided cash of $152 million in the first nine months of 2023, compared to $248 million of cash used in the first nine months of 2022, a favorable change of $400 million. The favorable change in the first nine months of 2023 was substantially driven by the favorable changes in inventories, primarily due to the lower raw material costs, including feedstock and fuel costs, in the first nine months of 2023, as compared to the first nine months of 2022.</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Net cash used for investing activities in the first nine months of 2023 was $750 million as compared to net cash used for investing activities of $2,148 million in the first nine months of 2022. The decrease in investing activities in the first nine months of 2023 as compared to first nine months of 2022 was primarily because of the epoxy acquisition in February 2022 for $1,163 million. Capital expenditures were $752 million in the first nine months of 2023 as compared to $811 million in the first nine months of 2022. Capital expenditures in the first nine months of 2023 and 2022 were primarily related to projects to increase production capacity or reduce costs, maintenance and safety projects and environmental projects at our various facilities.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Net cash used for financing activities during the first nine months of 2023 was $175 million as compared to net cash used for financing activities of $480 million in the first nine months of 2022. The decrease in cash used for financing activities in the first nine months of 2023 as compared to first nine months of 2022 was primarily due to the redemption of $250 million aggregate principal amount of the 3.60% Senior Notes due 2022. The activities during the first nine months of 2023 were primarily related to the $156 million payment of cash dividends, the $33 million payment of cash distributions to noncontrolling interests, repurchases of shares of our common stock for an aggregate amount of $23 million and inflows of $39 million from the exercise of stock options. The financing activities in the first nine months of 2022 were primarily related to the $123 million payment of cash dividends, the $34 million payment of cash distributions to noncontrolling interests, the redemption of $250 million aggregate principal amount of the 3.60% Senior Notes due 2022 and repurchases of our common stock of $68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principal sources of liquidity are from cash and cash equivalents, cash from operations, short-term borrowings under the credit agreement and our long-term financing.</w:t>
      </w:r>
    </w:p>
    <w:p>
      <w:pPr>
        <w:spacing w:after="0" w:line="116"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September 30, 2023, we had repurchased 8,722,550 shares of our common stock for an aggregate purchase price of approximately $574 million under the 2014 Program. We did not repurchase any common stock under the 2014 Program during the three months ended September 30, 2023.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WLK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September 30, 2023.</w:t>
      </w:r>
    </w:p>
    <w:p>
      <w:pPr>
        <w:spacing w:after="0" w:line="138"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We believe that our sources of liquidity as described above are adequate to fund our normal operations and ongoing capital expenditures and turnaround activities. Funding of any potential large expansions or potential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September 30, 2023, our cash and cash equivalents totaled $3,057 million. In addition to our cash and cash equivalents, our credit agreement is available as needed, as described under "Debt"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As of September 30, 2023, the carrying value of our long-term indebtedness totaled $4,873 million. See Note 8 to the consolidated financial statements appearing elsewhere in this Form 10-Q for a discussion of our long-term indebtedness. Defined terms used in this section have the definitions assigned to such terms in Note 8 to the consolidated financial statements included in Item 1 of Part I of this Form 10-Q.</w:t>
      </w:r>
    </w:p>
    <w:p>
      <w:pPr>
        <w:spacing w:after="0" w:line="11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the credit agreement will be adequate to meet our normal operating needs for the foreseeable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September 30,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Principal Amount</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Optional Redemption</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Debt Issuance Date</w:t>
            </w: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2"/>
                <w:szCs w:val="12"/>
                <w:color w:val="auto"/>
              </w:rPr>
            </w:pPr>
          </w:p>
        </w:tc>
        <w:tc>
          <w:tcPr>
            <w:tcW w:w="1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Par Call Date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Terms and Other</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Matters</w:t>
            </w:r>
          </w:p>
        </w:tc>
        <w:tc>
          <w:tcPr>
            <w:tcW w:w="0" w:type="dxa"/>
            <w:vAlign w:val="bottom"/>
          </w:tcPr>
          <w:p>
            <w:pPr>
              <w:spacing w:after="0"/>
              <w:rPr>
                <w:sz w:val="1"/>
                <w:szCs w:val="1"/>
                <w:color w:val="auto"/>
              </w:rPr>
            </w:pPr>
          </w:p>
        </w:tc>
      </w:tr>
      <w:tr>
        <w:trPr>
          <w:trHeight w:val="174"/>
        </w:trPr>
        <w:tc>
          <w:tcPr>
            <w:tcW w:w="366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rPr>
              <w:t>0.875% senior notes due 2024 (the "0.875%</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 Senior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August 2021</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0"/>
              </w:rPr>
              <w:t>August 2024</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August 15, 2022</w:t>
            </w: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w w:val="95"/>
              </w:rPr>
              <w:t>3.60% senior notes due 2026 (the "3.60% 2026</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August 2016</w:t>
            </w:r>
          </w:p>
        </w:tc>
        <w:tc>
          <w:tcPr>
            <w:tcW w:w="1480" w:type="dxa"/>
            <w:vAlign w:val="bottom"/>
          </w:tcPr>
          <w:p>
            <w:pPr>
              <w:jc w:val="center"/>
              <w:ind w:right="71"/>
              <w:spacing w:after="0"/>
              <w:rPr>
                <w:sz w:val="20"/>
                <w:szCs w:val="20"/>
                <w:color w:val="auto"/>
              </w:rPr>
            </w:pPr>
            <w:r>
              <w:rPr>
                <w:rFonts w:ascii="Arial" w:cs="Arial" w:eastAsia="Arial" w:hAnsi="Arial"/>
                <w:sz w:val="18"/>
                <w:szCs w:val="18"/>
                <w:color w:val="auto"/>
                <w:w w:val="90"/>
              </w:rPr>
              <w:t>August 2026</w:t>
            </w:r>
          </w:p>
        </w:tc>
        <w:tc>
          <w:tcPr>
            <w:tcW w:w="12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May 15, 2026</w:t>
            </w:r>
          </w:p>
        </w:tc>
        <w:tc>
          <w:tcPr>
            <w:tcW w:w="1420" w:type="dxa"/>
            <w:vAlign w:val="bottom"/>
          </w:tcPr>
          <w:p>
            <w:pPr>
              <w:jc w:val="center"/>
              <w:ind w:right="74"/>
              <w:spacing w:after="0"/>
              <w:rPr>
                <w:sz w:val="20"/>
                <w:szCs w:val="20"/>
                <w:color w:val="auto"/>
              </w:rPr>
            </w:pPr>
            <w:r>
              <w:rPr>
                <w:rFonts w:ascii="Arial" w:cs="Arial" w:eastAsia="Arial" w:hAnsi="Arial"/>
                <w:sz w:val="18"/>
                <w:szCs w:val="18"/>
                <w:color w:val="auto"/>
                <w:w w:val="93"/>
              </w:rPr>
              <w:t>(1) (4)</w:t>
            </w: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Loan related to tax-exempt waste disposal</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bonds due 2027</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December 1997</w:t>
            </w:r>
          </w:p>
        </w:tc>
        <w:tc>
          <w:tcPr>
            <w:tcW w:w="148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8"/>
              </w:rPr>
              <w:t>December 2027</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w w:val="94"/>
              </w:rPr>
              <w:t>1.625% €700 million senior notes due 2029 (the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"1.625% 2029 Senior Notes")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July 2019</w:t>
            </w:r>
          </w:p>
        </w:tc>
        <w:tc>
          <w:tcPr>
            <w:tcW w:w="1480" w:type="dxa"/>
            <w:vAlign w:val="bottom"/>
          </w:tcPr>
          <w:p>
            <w:pPr>
              <w:jc w:val="center"/>
              <w:ind w:right="51"/>
              <w:spacing w:after="0"/>
              <w:rPr>
                <w:sz w:val="20"/>
                <w:szCs w:val="20"/>
                <w:color w:val="auto"/>
              </w:rPr>
            </w:pPr>
            <w:r>
              <w:rPr>
                <w:rFonts w:ascii="Arial" w:cs="Arial" w:eastAsia="Arial" w:hAnsi="Arial"/>
                <w:sz w:val="18"/>
                <w:szCs w:val="18"/>
                <w:color w:val="auto"/>
                <w:w w:val="90"/>
              </w:rPr>
              <w:t>July 2029</w:t>
            </w:r>
          </w:p>
        </w:tc>
        <w:tc>
          <w:tcPr>
            <w:tcW w:w="1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April 17, 2029</w:t>
            </w:r>
          </w:p>
        </w:tc>
        <w:tc>
          <w:tcPr>
            <w:tcW w:w="1420" w:type="dxa"/>
            <w:vAlign w:val="bottom"/>
          </w:tcPr>
          <w:p>
            <w:pPr>
              <w:jc w:val="center"/>
              <w:ind w:right="74"/>
              <w:spacing w:after="0"/>
              <w:rPr>
                <w:sz w:val="20"/>
                <w:szCs w:val="20"/>
                <w:color w:val="auto"/>
              </w:rPr>
            </w:pPr>
            <w:r>
              <w:rPr>
                <w:rFonts w:ascii="Arial" w:cs="Arial" w:eastAsia="Arial" w:hAnsi="Arial"/>
                <w:sz w:val="18"/>
                <w:szCs w:val="18"/>
                <w:color w:val="auto"/>
                <w:w w:val="93"/>
              </w:rPr>
              <w:t>(1) (2)</w:t>
            </w: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3.375% senior notes due 2030 (the "3.375%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2030 Senior Notes")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June 2020</w:t>
            </w:r>
          </w:p>
        </w:tc>
        <w:tc>
          <w:tcPr>
            <w:tcW w:w="148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7"/>
              </w:rPr>
              <w:t>June 2030</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March 15, 2030</w:t>
            </w:r>
          </w:p>
        </w:tc>
        <w:tc>
          <w:tcPr>
            <w:tcW w:w="14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w w:val="95"/>
              </w:rPr>
              <w:t>3.50% senior notes due 2032 (the "3.50% 2032</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180"/>
              <w:spacing w:after="0" w:line="176" w:lineRule="exact"/>
              <w:rPr>
                <w:sz w:val="20"/>
                <w:szCs w:val="20"/>
                <w:color w:val="auto"/>
              </w:rPr>
            </w:pPr>
            <w:r>
              <w:rPr>
                <w:rFonts w:ascii="Arial" w:cs="Arial" w:eastAsia="Arial" w:hAnsi="Arial"/>
                <w:sz w:val="18"/>
                <w:szCs w:val="18"/>
                <w:color w:val="auto"/>
              </w:rPr>
              <w:t>tax-exempt GO Zone Refunding Senior</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November 2017</w:t>
            </w:r>
          </w:p>
        </w:tc>
        <w:tc>
          <w:tcPr>
            <w:tcW w:w="1480" w:type="dxa"/>
            <w:vAlign w:val="bottom"/>
            <w:vMerge w:val="restart"/>
          </w:tcPr>
          <w:p>
            <w:pPr>
              <w:jc w:val="center"/>
              <w:ind w:right="71"/>
              <w:spacing w:after="0"/>
              <w:rPr>
                <w:sz w:val="20"/>
                <w:szCs w:val="20"/>
                <w:color w:val="auto"/>
              </w:rPr>
            </w:pPr>
            <w:r>
              <w:rPr>
                <w:rFonts w:ascii="Arial" w:cs="Arial" w:eastAsia="Arial" w:hAnsi="Arial"/>
                <w:sz w:val="18"/>
                <w:szCs w:val="18"/>
                <w:color w:val="auto"/>
                <w:w w:val="90"/>
              </w:rPr>
              <w:t>November 2032</w:t>
            </w:r>
          </w:p>
        </w:tc>
        <w:tc>
          <w:tcPr>
            <w:tcW w:w="1640" w:type="dxa"/>
            <w:vAlign w:val="bottom"/>
            <w:gridSpan w:val="3"/>
            <w:vMerge w:val="restart"/>
          </w:tcPr>
          <w:p>
            <w:pPr>
              <w:jc w:val="center"/>
              <w:ind w:right="140"/>
              <w:spacing w:after="0"/>
              <w:rPr>
                <w:sz w:val="20"/>
                <w:szCs w:val="20"/>
                <w:color w:val="auto"/>
              </w:rPr>
            </w:pPr>
            <w:r>
              <w:rPr>
                <w:rFonts w:ascii="Arial" w:cs="Arial" w:eastAsia="Arial" w:hAnsi="Arial"/>
                <w:sz w:val="18"/>
                <w:szCs w:val="18"/>
                <w:color w:val="auto"/>
                <w:w w:val="90"/>
              </w:rPr>
              <w:t>November 1, 2027</w:t>
            </w:r>
          </w:p>
        </w:tc>
        <w:tc>
          <w:tcPr>
            <w:tcW w:w="1420" w:type="dxa"/>
            <w:vAlign w:val="bottom"/>
            <w:vMerge w:val="restart"/>
          </w:tcPr>
          <w:p>
            <w:pPr>
              <w:jc w:val="right"/>
              <w:ind w:right="5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2.875% senior notes due 2041 (the "2.875%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2041 Senior Notes")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August 2021</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0"/>
              </w:rPr>
              <w:t>August 2041</w:t>
            </w:r>
          </w:p>
        </w:tc>
        <w:tc>
          <w:tcPr>
            <w:tcW w:w="16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February 15, 2041</w:t>
            </w:r>
          </w:p>
        </w:tc>
        <w:tc>
          <w:tcPr>
            <w:tcW w:w="14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w w:val="95"/>
              </w:rPr>
              <w:t>5.00% senior notes due 2046 (the "5.00% 2046</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August 2016</w:t>
            </w:r>
          </w:p>
        </w:tc>
        <w:tc>
          <w:tcPr>
            <w:tcW w:w="1480" w:type="dxa"/>
            <w:vAlign w:val="bottom"/>
          </w:tcPr>
          <w:p>
            <w:pPr>
              <w:jc w:val="center"/>
              <w:ind w:right="71"/>
              <w:spacing w:after="0"/>
              <w:rPr>
                <w:sz w:val="20"/>
                <w:szCs w:val="20"/>
                <w:color w:val="auto"/>
              </w:rPr>
            </w:pPr>
            <w:r>
              <w:rPr>
                <w:rFonts w:ascii="Arial" w:cs="Arial" w:eastAsia="Arial" w:hAnsi="Arial"/>
                <w:sz w:val="18"/>
                <w:szCs w:val="18"/>
                <w:color w:val="auto"/>
                <w:w w:val="90"/>
              </w:rPr>
              <w:t>August 2046</w:t>
            </w: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February 15, 2046</w:t>
            </w:r>
          </w:p>
        </w:tc>
        <w:tc>
          <w:tcPr>
            <w:tcW w:w="1420" w:type="dxa"/>
            <w:vAlign w:val="bottom"/>
          </w:tcPr>
          <w:p>
            <w:pPr>
              <w:jc w:val="center"/>
              <w:ind w:right="74"/>
              <w:spacing w:after="0"/>
              <w:rPr>
                <w:sz w:val="20"/>
                <w:szCs w:val="20"/>
                <w:color w:val="auto"/>
              </w:rPr>
            </w:pPr>
            <w:r>
              <w:rPr>
                <w:rFonts w:ascii="Arial" w:cs="Arial" w:eastAsia="Arial" w:hAnsi="Arial"/>
                <w:sz w:val="18"/>
                <w:szCs w:val="18"/>
                <w:color w:val="auto"/>
                <w:w w:val="93"/>
              </w:rPr>
              <w:t>(1) (4)</w:t>
            </w: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4.375% senior notes due 2047 (the "4.375%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2047 Senior Notes")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November 2017</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0"/>
              </w:rPr>
              <w:t>November 2047</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May 15, 2047</w:t>
            </w:r>
          </w:p>
        </w:tc>
        <w:tc>
          <w:tcPr>
            <w:tcW w:w="14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3.125% senior notes due 2051 (the "3.125%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2051 Senior Notes")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August 2021</w:t>
            </w:r>
          </w:p>
        </w:tc>
        <w:tc>
          <w:tcPr>
            <w:tcW w:w="1480" w:type="dxa"/>
            <w:vAlign w:val="bottom"/>
          </w:tcPr>
          <w:p>
            <w:pPr>
              <w:jc w:val="center"/>
              <w:ind w:right="71"/>
              <w:spacing w:after="0"/>
              <w:rPr>
                <w:sz w:val="20"/>
                <w:szCs w:val="20"/>
                <w:color w:val="auto"/>
              </w:rPr>
            </w:pPr>
            <w:r>
              <w:rPr>
                <w:rFonts w:ascii="Arial" w:cs="Arial" w:eastAsia="Arial" w:hAnsi="Arial"/>
                <w:sz w:val="18"/>
                <w:szCs w:val="18"/>
                <w:color w:val="auto"/>
                <w:w w:val="90"/>
              </w:rPr>
              <w:t>August 2051</w:t>
            </w: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February 15, 2051</w:t>
            </w:r>
          </w:p>
        </w:tc>
        <w:tc>
          <w:tcPr>
            <w:tcW w:w="1420" w:type="dxa"/>
            <w:vAlign w:val="bottom"/>
          </w:tcPr>
          <w:p>
            <w:pPr>
              <w:jc w:val="center"/>
              <w:ind w:right="74"/>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3.375% senior notes due 2061 (the "3.375%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2061 Senior Notes")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August 2021</w:t>
            </w:r>
          </w:p>
        </w:tc>
        <w:tc>
          <w:tcPr>
            <w:tcW w:w="148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0"/>
              </w:rPr>
              <w:t>August 2061</w:t>
            </w:r>
          </w:p>
        </w:tc>
        <w:tc>
          <w:tcPr>
            <w:tcW w:w="16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February 15, 2061</w:t>
            </w:r>
          </w:p>
        </w:tc>
        <w:tc>
          <w:tcPr>
            <w:tcW w:w="14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324"/>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2026 (the "2026 Term Loan")</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92"/>
              </w:rPr>
              <w:t>March 2021</w:t>
            </w:r>
          </w:p>
        </w:tc>
        <w:tc>
          <w:tcPr>
            <w:tcW w:w="1480" w:type="dxa"/>
            <w:vAlign w:val="bottom"/>
            <w:tcBorders>
              <w:bottom w:val="single" w:sz="8" w:color="CCEEFF"/>
            </w:tcBorders>
          </w:tcPr>
          <w:p>
            <w:pPr>
              <w:jc w:val="center"/>
              <w:ind w:right="71"/>
              <w:spacing w:after="0"/>
              <w:rPr>
                <w:sz w:val="20"/>
                <w:szCs w:val="20"/>
                <w:color w:val="auto"/>
              </w:rPr>
            </w:pPr>
            <w:r>
              <w:rPr>
                <w:rFonts w:ascii="Arial" w:cs="Arial" w:eastAsia="Arial" w:hAnsi="Arial"/>
                <w:sz w:val="18"/>
                <w:szCs w:val="18"/>
                <w:color w:val="auto"/>
                <w:w w:val="92"/>
              </w:rPr>
              <w:t>March 2026</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center"/>
              <w:ind w:right="74"/>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60" w:hanging="412"/>
        <w:spacing w:after="0" w:line="277" w:lineRule="auto"/>
        <w:tabs>
          <w:tab w:leader="none" w:pos="4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8" w:lineRule="exact"/>
        <w:rPr>
          <w:rFonts w:ascii="Arial" w:cs="Arial" w:eastAsia="Arial" w:hAnsi="Arial"/>
          <w:sz w:val="18"/>
          <w:szCs w:val="18"/>
          <w:color w:val="auto"/>
        </w:rPr>
      </w:pPr>
    </w:p>
    <w:p>
      <w:pPr>
        <w:ind w:left="460" w:right="280" w:hanging="412"/>
        <w:spacing w:after="0" w:line="275" w:lineRule="auto"/>
        <w:tabs>
          <w:tab w:leader="none" w:pos="445"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right="40" w:hanging="412"/>
        <w:spacing w:after="0" w:line="257"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25" w:lineRule="exact"/>
        <w:rPr>
          <w:rFonts w:ascii="Arial" w:cs="Arial" w:eastAsia="Arial" w:hAnsi="Arial"/>
          <w:sz w:val="18"/>
          <w:szCs w:val="18"/>
          <w:color w:val="auto"/>
        </w:rPr>
      </w:pPr>
    </w:p>
    <w:p>
      <w:pPr>
        <w:ind w:left="460" w:right="100" w:hanging="412"/>
        <w:spacing w:after="0" w:line="279"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9" w:lineRule="exact"/>
        <w:rPr>
          <w:rFonts w:ascii="Arial" w:cs="Arial" w:eastAsia="Arial" w:hAnsi="Arial"/>
          <w:sz w:val="17"/>
          <w:szCs w:val="17"/>
          <w:color w:val="auto"/>
        </w:rPr>
      </w:pPr>
    </w:p>
    <w:p>
      <w:pPr>
        <w:ind w:left="460" w:right="20" w:hanging="412"/>
        <w:spacing w:after="0" w:line="257"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25" w:lineRule="exact"/>
        <w:rPr>
          <w:rFonts w:ascii="Arial" w:cs="Arial" w:eastAsia="Arial" w:hAnsi="Arial"/>
          <w:sz w:val="18"/>
          <w:szCs w:val="18"/>
          <w:color w:val="auto"/>
        </w:rPr>
      </w:pPr>
    </w:p>
    <w:p>
      <w:pPr>
        <w:ind w:left="460" w:right="40" w:hanging="412"/>
        <w:spacing w:after="0" w:line="263"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September 30, 2023 was 4.15%.</w:t>
      </w:r>
    </w:p>
    <w:p>
      <w:pPr>
        <w:spacing w:after="0" w:line="21" w:lineRule="exact"/>
        <w:rPr>
          <w:rFonts w:ascii="Arial" w:cs="Arial" w:eastAsia="Arial" w:hAnsi="Arial"/>
          <w:sz w:val="18"/>
          <w:szCs w:val="18"/>
          <w:color w:val="auto"/>
        </w:rPr>
      </w:pPr>
    </w:p>
    <w:p>
      <w:pPr>
        <w:ind w:left="460" w:right="20" w:hanging="412"/>
        <w:spacing w:after="0" w:line="277"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2026 Term Loan has a 5-year maturity and include a government rate subsidy. The interest rate on the 2026 Term Loan as of September 30, 2023 was 0.95%.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holders of the 0.875% 2024 Senior Notes, the 3.60% 2026 Senior Notes, the 1.625% 2029 Senior Notes, the 3.375% 2030 Senior Notes,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3.50% 2032 tax-exempt GO Zone Refunding Senior Notes, the 2.875% 2041 Senior Notes, the 5.00% 2046 Senior Notes, the 4.375% 2047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3.125% 2051 Senior Notes and the 3.375% 2061 Senior Notes may require us to repurchase the notes at a price equal to 101% of their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plus accrued and unpaid interest to, but not including, the date of repurchase, upon the occurrence of both a "change of control" and, within 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of such change of control, a "below investment grade rating event" (as such terms are defined in the respective indentures governing these notes).</w:t>
      </w:r>
    </w:p>
    <w:p>
      <w:pPr>
        <w:spacing w:after="0" w:line="180" w:lineRule="exact"/>
        <w:rPr>
          <w:sz w:val="20"/>
          <w:szCs w:val="20"/>
          <w:color w:val="auto"/>
        </w:rPr>
      </w:pPr>
    </w:p>
    <w:p>
      <w:pPr>
        <w:jc w:val="both"/>
        <w:ind w:right="300" w:firstLine="405"/>
        <w:spacing w:after="0" w:line="275" w:lineRule="auto"/>
        <w:rPr>
          <w:sz w:val="20"/>
          <w:szCs w:val="20"/>
          <w:color w:val="auto"/>
        </w:rPr>
      </w:pPr>
      <w:r>
        <w:rPr>
          <w:rFonts w:ascii="Arial" w:cs="Arial" w:eastAsia="Arial" w:hAnsi="Arial"/>
          <w:sz w:val="17"/>
          <w:szCs w:val="17"/>
          <w:color w:val="auto"/>
        </w:rPr>
        <w:t>The indenture governing the 0.875% 2024 Senior Notes,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we were in compliance with all of our long-term debt covenants.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September 30, 2023, we were in compliance with the total leverage ratio financial maintenance covenant.</w:t>
      </w:r>
    </w:p>
    <w:p>
      <w:pPr>
        <w:spacing w:after="0" w:line="1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Credit Arrangements</w:t>
      </w:r>
    </w:p>
    <w:p>
      <w:pPr>
        <w:spacing w:after="0" w:line="90" w:lineRule="exact"/>
        <w:rPr>
          <w:sz w:val="20"/>
          <w:szCs w:val="20"/>
          <w:color w:val="auto"/>
        </w:rPr>
      </w:pPr>
    </w:p>
    <w:p>
      <w:pPr>
        <w:ind w:right="100" w:firstLine="405"/>
        <w:spacing w:after="0" w:line="284" w:lineRule="auto"/>
        <w:rPr>
          <w:sz w:val="20"/>
          <w:szCs w:val="20"/>
          <w:color w:val="auto"/>
        </w:rPr>
      </w:pPr>
      <w:r>
        <w:rPr>
          <w:rFonts w:ascii="Arial" w:cs="Arial" w:eastAsia="Arial" w:hAnsi="Arial"/>
          <w:sz w:val="16"/>
          <w:szCs w:val="16"/>
          <w:color w:val="auto"/>
        </w:rPr>
        <w:t>Our subsidiary, Westlake Chemical Finance Corporation, is the lender party to a $600 million revolving credit facility with Westlake Chemical Partners LP ("Westlake Partners") (the "MLP Revolver") that is scheduled to mature on July 12, 2027. As of September 30, 2023,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w:t>
      </w:r>
    </w:p>
    <w:p>
      <w:pPr>
        <w:spacing w:after="0" w:line="4" w:lineRule="exact"/>
        <w:rPr>
          <w:sz w:val="20"/>
          <w:szCs w:val="20"/>
          <w:color w:val="auto"/>
        </w:rPr>
      </w:pPr>
    </w:p>
    <w:p>
      <w:pPr>
        <w:jc w:val="both"/>
        <w:ind w:right="600" w:firstLine="8"/>
        <w:spacing w:after="0" w:line="255"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3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subsidiary, Westlake Polymers LLC, is the administrative agent to a $600 million revolving credit facility with Westlake Chemical OpCo LP ("OpCo") (the "OpCo Revolver") that is scheduled to mature on July 12, 2027. As of September 30, 2023,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2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4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operating rates, margins, cash flows and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market outlook, including the price of crude oil, natural gas, ethane, housing starts and repair and remodeling activity;</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outlook, including rising interest rates, inflation and possible recession;</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capacities;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uncertainties and ongoing supply chain constraints caused by the conflicts in the Middle East and between Russia and Ukraine;</w:t>
      </w:r>
    </w:p>
    <w:p>
      <w:pPr>
        <w:spacing w:after="0" w:line="126"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devaluation;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borrow additional funds under our credit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debt obligations under our debt instruments;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intended quarterly dividends;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capacity additions and expansions in the industries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plan obligations, funding requirements and investment policies;</w:t>
      </w:r>
    </w:p>
    <w:p>
      <w:pPr>
        <w:spacing w:after="0" w:line="103" w:lineRule="exact"/>
        <w:rPr>
          <w:rFonts w:ascii="Arial" w:cs="Arial" w:eastAsia="Arial" w:hAnsi="Arial"/>
          <w:sz w:val="18"/>
          <w:szCs w:val="18"/>
          <w:color w:val="auto"/>
        </w:rPr>
      </w:pPr>
    </w:p>
    <w:p>
      <w:pPr>
        <w:ind w:left="900" w:right="260" w:hanging="325"/>
        <w:spacing w:after="0" w:line="263"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pending legal proceedings;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2022 Form 10-K and those described from time to time in our other filings with the SEC including, but not limited to, the following:</w:t>
      </w:r>
    </w:p>
    <w:p>
      <w:pPr>
        <w:spacing w:after="0" w:line="4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inflation, interest rates and possible recession;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chemical and building products industries;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900" w:right="200" w:hanging="325"/>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the United States, European and worldwide economies, including those due to political tensions and conflict in the Middle East and elsewhere, including the conflict between Russia and Ukraine;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climate change;</w:t>
      </w:r>
    </w:p>
    <w:p>
      <w:pPr>
        <w:spacing w:after="0" w:line="103" w:lineRule="exact"/>
        <w:rPr>
          <w:rFonts w:ascii="Arial" w:cs="Arial" w:eastAsia="Arial" w:hAnsi="Arial"/>
          <w:sz w:val="18"/>
          <w:szCs w:val="18"/>
          <w:color w:val="auto"/>
        </w:rPr>
      </w:pPr>
    </w:p>
    <w:p>
      <w:pPr>
        <w:ind w:left="900" w:right="220" w:hanging="325"/>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on demand for ethylene, polyethylene and polyvinyl chloride due to initiatives such as recycling and customers seeking alternatives to polymers;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other countries;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03" w:lineRule="exact"/>
        <w:rPr>
          <w:rFonts w:ascii="Arial" w:cs="Arial" w:eastAsia="Arial" w:hAnsi="Arial"/>
          <w:sz w:val="18"/>
          <w:szCs w:val="18"/>
          <w:color w:val="auto"/>
        </w:rPr>
      </w:pPr>
    </w:p>
    <w:p>
      <w:pPr>
        <w:ind w:left="900" w:right="640" w:hanging="325"/>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including trade policies;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systems failures and cyberattacks;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and options) in certain instances to reduce price volatility risk on feedstocks and products. Based on our open derivative positions at September 30, 2023, a hypothetical $0.10 increase in the price of a gallon of ethane and a hypothetical $0.10 increase in the price of a million British thermal units of natural gas would not have a material impact on our income before income taxes.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are exposed to interest rate risk with respect to fixed and variable rate debt. At September 30, 2023, we had $4,940 million aggregate principal amount of fixed rate debt. We are subject to the risk of higher interest cost if and when this debt is refinanced. If interest rates were 1.0% higher at the time of refinancing, our annual interest expense would increase by approximately $49 million. Also, at September 30, 2023, we had $24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$24 million as of September 30, 2023 was 2.42%. A hypothetical 100 basis point increase in the average interest rate on our variable rate debt would not result in a material change in the interest expense.</w:t>
      </w:r>
    </w:p>
    <w:p>
      <w:pPr>
        <w:spacing w:after="0" w:line="12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SOFR is used as a reference rate for borrowings under our revolving line of credit. We did not have any SOFR-based borrowings outstanding at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04" w:lineRule="exact"/>
        <w:rPr>
          <w:sz w:val="20"/>
          <w:szCs w:val="20"/>
          <w:color w:val="auto"/>
        </w:rPr>
      </w:pPr>
    </w:p>
    <w:p>
      <w:pPr>
        <w:ind w:right="140" w:firstLine="405"/>
        <w:spacing w:after="0" w:line="269" w:lineRule="auto"/>
        <w:rPr>
          <w:sz w:val="20"/>
          <w:szCs w:val="20"/>
          <w:color w:val="auto"/>
        </w:rPr>
      </w:pPr>
      <w:r>
        <w:rPr>
          <w:rFonts w:ascii="Arial" w:cs="Arial" w:eastAsia="Arial" w:hAnsi="Arial"/>
          <w:sz w:val="17"/>
          <w:szCs w:val="17"/>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September 30, 2023. The arrangement is scheduled to settle in 2026.</w:t>
      </w:r>
    </w:p>
    <w:p>
      <w:pPr>
        <w:spacing w:after="0" w:line="131" w:lineRule="exact"/>
        <w:rPr>
          <w:sz w:val="20"/>
          <w:szCs w:val="20"/>
          <w:color w:val="auto"/>
        </w:rPr>
      </w:pPr>
    </w:p>
    <w:p>
      <w:pPr>
        <w:ind w:right="760" w:firstLine="405"/>
        <w:spacing w:after="0" w:line="263" w:lineRule="auto"/>
        <w:rPr>
          <w:sz w:val="20"/>
          <w:szCs w:val="20"/>
          <w:color w:val="auto"/>
        </w:rPr>
      </w:pPr>
      <w:r>
        <w:rPr>
          <w:rFonts w:ascii="Arial" w:cs="Arial" w:eastAsia="Arial" w:hAnsi="Arial"/>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2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The 2022 Form 10-K, filed on February 22, 2023, contained a description of various legal proceedings in which we are involved. See Note 14 to the unaudited consolidated financial statements within this Quarterly Report on Form 10-Q for an updated description of certain of those proceedings, which information is incorporated by reference herein.</w:t>
      </w:r>
    </w:p>
    <w:p>
      <w:pPr>
        <w:spacing w:after="0" w:line="13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September 30, 2023), please see the 2022 Form 10-K and Note 14 to the unaudited consolidated financial statements within this Quarterly Report on Form 10-Q.</w:t>
      </w:r>
    </w:p>
    <w:p>
      <w:pPr>
        <w:spacing w:after="0" w:line="12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For a discussion of risk factors, please read Item 1A, "Risk Factors" in the 2022 Form 10-K. The risks described in the report and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on our purchases of our common stock during the quarter ended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5"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480" w:type="dxa"/>
            <w:vAlign w:val="bottom"/>
          </w:tcPr>
          <w:p>
            <w:pPr>
              <w:jc w:val="center"/>
              <w:ind w:left="208"/>
              <w:spacing w:after="0" w:line="139" w:lineRule="exact"/>
              <w:rPr>
                <w:sz w:val="20"/>
                <w:szCs w:val="20"/>
                <w:color w:val="auto"/>
              </w:rPr>
            </w:pPr>
            <w:r>
              <w:rPr>
                <w:rFonts w:ascii="Arial" w:cs="Arial" w:eastAsia="Arial" w:hAnsi="Arial"/>
                <w:sz w:val="14"/>
                <w:szCs w:val="14"/>
                <w:b w:val="1"/>
                <w:bCs w:val="1"/>
                <w:color w:val="auto"/>
                <w:w w:val="91"/>
              </w:rPr>
              <w:t>Purchased as Part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w w:val="93"/>
              </w:rPr>
              <w:t>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Paid Per</w:t>
            </w:r>
          </w:p>
        </w:tc>
        <w:tc>
          <w:tcPr>
            <w:tcW w:w="14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9"/>
                <w:szCs w:val="9"/>
                <w:b w:val="1"/>
                <w:bCs w:val="1"/>
                <w:color w:val="auto"/>
                <w:w w:val="90"/>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9"/>
                <w:szCs w:val="9"/>
                <w:b w:val="1"/>
                <w:bCs w:val="1"/>
                <w:color w:val="auto"/>
                <w:w w:val="93"/>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line="202" w:lineRule="exact"/>
              <w:rPr>
                <w:sz w:val="20"/>
                <w:szCs w:val="20"/>
                <w:color w:val="auto"/>
              </w:rPr>
            </w:pPr>
            <w:r>
              <w:rPr>
                <w:rFonts w:ascii="Arial" w:cs="Arial" w:eastAsia="Arial" w:hAnsi="Arial"/>
                <w:sz w:val="14"/>
                <w:szCs w:val="14"/>
                <w:b w:val="1"/>
                <w:bCs w:val="1"/>
                <w:color w:val="auto"/>
                <w:w w:val="90"/>
              </w:rPr>
              <w:t xml:space="preserve">Plans or Programs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2023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476,162,426</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August 2023</w:t>
            </w:r>
          </w:p>
        </w:tc>
        <w:tc>
          <w:tcPr>
            <w:tcW w:w="17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131.23</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
              <w:spacing w:after="0"/>
              <w:rPr>
                <w:sz w:val="20"/>
                <w:szCs w:val="20"/>
                <w:color w:val="auto"/>
              </w:rPr>
            </w:pPr>
            <w:r>
              <w:rPr>
                <w:rFonts w:ascii="Arial" w:cs="Arial" w:eastAsia="Arial" w:hAnsi="Arial"/>
                <w:sz w:val="18"/>
                <w:szCs w:val="18"/>
                <w:color w:val="auto"/>
              </w:rPr>
              <w:t>476,162,426</w:t>
            </w:r>
          </w:p>
        </w:tc>
        <w:tc>
          <w:tcPr>
            <w:tcW w:w="0" w:type="dxa"/>
            <w:vAlign w:val="bottom"/>
          </w:tcPr>
          <w:p>
            <w:pPr>
              <w:spacing w:after="0"/>
              <w:rPr>
                <w:sz w:val="1"/>
                <w:szCs w:val="1"/>
                <w:color w:val="auto"/>
              </w:rPr>
            </w:pPr>
          </w:p>
        </w:tc>
      </w:tr>
      <w:tr>
        <w:trPr>
          <w:trHeight w:val="29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476,162,426</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3,599</w:t>
            </w:r>
          </w:p>
        </w:tc>
        <w:tc>
          <w:tcPr>
            <w:tcW w:w="380" w:type="dxa"/>
            <w:vAlign w:val="bottom"/>
            <w:tcBorders>
              <w:top w:val="single" w:sz="8" w:color="CCEEFF"/>
            </w:tcBorders>
            <w:gridSpan w:val="2"/>
          </w:tcPr>
          <w:p>
            <w:pPr>
              <w:jc w:val="right"/>
              <w:ind w:right="70"/>
              <w:spacing w:after="0" w:line="190"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tcPr>
          <w:p>
            <w:pPr>
              <w:jc w:val="right"/>
              <w:spacing w:after="0" w:line="190" w:lineRule="exact"/>
              <w:rPr>
                <w:sz w:val="20"/>
                <w:szCs w:val="20"/>
                <w:color w:val="auto"/>
              </w:rPr>
            </w:pPr>
            <w:r>
              <w:rPr>
                <w:rFonts w:ascii="Arial" w:cs="Arial" w:eastAsia="Arial" w:hAnsi="Arial"/>
                <w:sz w:val="18"/>
                <w:szCs w:val="18"/>
                <w:color w:val="auto"/>
              </w:rPr>
              <w:t>124.92</w:t>
            </w:r>
          </w:p>
        </w:tc>
        <w:tc>
          <w:tcPr>
            <w:tcW w:w="8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40"/>
              <w:spacing w:after="0" w:line="190"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90" w:lineRule="exact"/>
        <w:rPr>
          <w:sz w:val="20"/>
          <w:szCs w:val="20"/>
          <w:color w:val="auto"/>
        </w:rPr>
      </w:pPr>
    </w:p>
    <w:p>
      <w:pPr>
        <w:ind w:left="460" w:right="240" w:hanging="412"/>
        <w:spacing w:after="0" w:line="277" w:lineRule="auto"/>
        <w:tabs>
          <w:tab w:leader="none" w:pos="4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644, 530 and 2,425 shares withheld in July 2023, August 2023 and September 2023, respectively, in satisfaction of withholding taxes due upon the vesting of restricted stock units granted to our employees under the 2013 Omnibus Incentive Plan.</w:t>
      </w:r>
    </w:p>
    <w:p>
      <w:pPr>
        <w:spacing w:after="0" w:line="8" w:lineRule="exact"/>
        <w:rPr>
          <w:rFonts w:ascii="Arial" w:cs="Arial" w:eastAsia="Arial" w:hAnsi="Arial"/>
          <w:sz w:val="18"/>
          <w:szCs w:val="18"/>
          <w:color w:val="auto"/>
        </w:rPr>
      </w:pPr>
    </w:p>
    <w:p>
      <w:pPr>
        <w:ind w:left="460" w:right="20" w:hanging="412"/>
        <w:spacing w:after="0" w:line="254" w:lineRule="auto"/>
        <w:tabs>
          <w:tab w:leader="none" w:pos="4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September 30, 2023, 8,722,550 shares of our common stock had been acquired at an aggregate purchase price of approximately $574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i w:val="1"/>
          <w:iCs w:val="1"/>
          <w:color w:val="auto"/>
        </w:rPr>
        <w:t xml:space="preserve">Rule 10b5-1 Trading Arrangements. </w:t>
      </w:r>
      <w:r>
        <w:rPr>
          <w:rFonts w:ascii="Arial" w:cs="Arial" w:eastAsia="Arial" w:hAnsi="Arial"/>
          <w:sz w:val="17"/>
          <w:szCs w:val="17"/>
          <w:color w:val="auto"/>
        </w:rPr>
        <w:t>During the three months ended September 30, 2023, no director or officer of the Company adopted or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a “Rule 10b5-1 trading arrangement” or “non-Rule 10b5-1 trading arrangement,” as each term is defined in Item 408 of Regulation S-K.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340" w:type="dxa"/>
            <w:vAlign w:val="bottom"/>
            <w:gridSpan w:val="10"/>
          </w:tcPr>
          <w:p>
            <w:pPr>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Amended and Restated Certificate of Incorporation of Westlake as filed with the Delaware Secretary of State on August 6, 2004</w:t>
              </w:r>
            </w:hyperlink>
          </w:p>
        </w:tc>
      </w:tr>
      <w:tr>
        <w:trPr>
          <w:trHeight w:val="169"/>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2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Westlake's Registration Statement on Form S-1/A, filed on August 9, 2004).</w:t>
              </w:r>
            </w:hyperlink>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2"/>
                <w:szCs w:val="22"/>
                <w:color w:val="auto"/>
              </w:rPr>
            </w:pPr>
          </w:p>
        </w:tc>
        <w:tc>
          <w:tcPr>
            <w:tcW w:w="9860" w:type="dxa"/>
            <w:vAlign w:val="bottom"/>
            <w:gridSpan w:val="14"/>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82"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State on May 16, 2014 (incorporated by reference to Westlake's Current Report on Form 8-K, filed on May 16, 2014, File No. 001-</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32260).</w:t>
              </w:r>
            </w:hyperlink>
          </w:p>
        </w:tc>
        <w:tc>
          <w:tcPr>
            <w:tcW w:w="34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82"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State on May 19, 2017 (incorporated by reference to Westlake's Current Report on Form 8-K, filed on May 19, 2017, File No. 001-</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32260).</w:t>
              </w:r>
            </w:hyperlink>
          </w:p>
        </w:tc>
        <w:tc>
          <w:tcPr>
            <w:tcW w:w="34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82"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State on May 14, 2021 (incorporated by reference to Westlake's Current Report on Form 8-K, filed on May 13, 2021, File No. 001-</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32260).</w:t>
              </w:r>
            </w:hyperlink>
          </w:p>
        </w:tc>
        <w:tc>
          <w:tcPr>
            <w:tcW w:w="34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tcBorders>
              <w:top w:val="single" w:sz="8" w:color="0000FF"/>
            </w:tcBorders>
            <w:gridSpan w:val="13"/>
          </w:tcPr>
          <w:p>
            <w:pPr>
              <w:spacing w:after="0" w:line="182"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State on February 18, 2022 (incorporated by reference to Westlake's Current Report on Form 8-K, filed on February 18, 2022, File No.</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001-32260).</w:t>
              </w:r>
            </w:hyperlink>
          </w:p>
        </w:tc>
        <w:tc>
          <w:tcPr>
            <w:tcW w:w="1080" w:type="dxa"/>
            <w:vAlign w:val="bottom"/>
            <w:tcBorders>
              <w:top w:val="single" w:sz="8" w:color="0000FF"/>
            </w:tcBorders>
          </w:tcPr>
          <w:p>
            <w:pPr>
              <w:spacing w:after="0"/>
              <w:rPr>
                <w:sz w:val="15"/>
                <w:szCs w:val="15"/>
                <w:color w:val="auto"/>
              </w:rPr>
            </w:pPr>
          </w:p>
        </w:tc>
        <w:tc>
          <w:tcPr>
            <w:tcW w:w="254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Certificate of Amendment to the Amended and Restated Certificate of Incorporation of Westlake as filed with the Delaware Secretary of</w:t>
              </w:r>
            </w:hyperlink>
          </w:p>
        </w:tc>
      </w:tr>
      <w:tr>
        <w:trPr>
          <w:trHeight w:val="169"/>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40" w:type="dxa"/>
            <w:vAlign w:val="bottom"/>
            <w:tcBorders>
              <w:top w:val="single" w:sz="8" w:color="0000FF"/>
            </w:tcBorders>
            <w:gridSpan w:val="13"/>
          </w:tcPr>
          <w:p>
            <w:pPr>
              <w:spacing w:after="0" w:line="169"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State on May 11, 2023 (incorporated by reference to Westlake's Current Report on Form 8-K, filed on May 16, 2023, File No. 001-</w:t>
              </w:r>
            </w:hyperlink>
          </w:p>
        </w:tc>
        <w:tc>
          <w:tcPr>
            <w:tcW w:w="20" w:type="dxa"/>
            <w:vAlign w:val="bottom"/>
          </w:tcPr>
          <w:p>
            <w:pPr>
              <w:spacing w:after="0"/>
              <w:rPr>
                <w:sz w:val="14"/>
                <w:szCs w:val="14"/>
                <w:color w:val="auto"/>
              </w:rPr>
            </w:pPr>
          </w:p>
        </w:tc>
      </w:tr>
      <w:tr>
        <w:trPr>
          <w:trHeight w:val="156"/>
        </w:trPr>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32260).</w:t>
              </w:r>
            </w:hyperlink>
          </w:p>
        </w:tc>
        <w:tc>
          <w:tcPr>
            <w:tcW w:w="3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2"/>
                <w:szCs w:val="22"/>
                <w:color w:val="auto"/>
              </w:rPr>
            </w:pPr>
          </w:p>
        </w:tc>
        <w:tc>
          <w:tcPr>
            <w:tcW w:w="9860" w:type="dxa"/>
            <w:vAlign w:val="bottom"/>
            <w:gridSpan w:val="14"/>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2022, File No. 001-32260).</w:t>
              </w:r>
            </w:hyperlink>
          </w:p>
        </w:tc>
        <w:tc>
          <w:tcPr>
            <w:tcW w:w="784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90"/>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9860" w:type="dxa"/>
            <w:vAlign w:val="bottom"/>
            <w:gridSpan w:val="14"/>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r>
      <w:tr>
        <w:trPr>
          <w:trHeight w:val="264"/>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52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500" w:type="dxa"/>
            <w:vAlign w:val="bottom"/>
            <w:gridSpan w:val="8"/>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7"/>
            <w:shd w:val="clear" w:color="auto" w:fill="0000FF"/>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r>
      <w:tr>
        <w:trPr>
          <w:trHeight w:val="263"/>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4"/>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284"/>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00" w:right="280" w:hanging="1274"/>
        <w:spacing w:after="0" w:line="24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5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40" w:val="left"/>
          <w:tab w:leader="none" w:pos="8340" w:val="left"/>
          <w:tab w:leader="none" w:pos="870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23495</wp:posOffset>
            </wp:positionV>
            <wp:extent cx="27260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Albert Chao</w:t>
      </w:r>
    </w:p>
    <w:p>
      <w:pPr>
        <w:spacing w:after="0" w:line="32"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President and Chief Executive Officer</w:t>
      </w: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00" w:val="left"/>
          <w:tab w:leader="none" w:pos="6340" w:val="left"/>
          <w:tab w:leader="none" w:pos="8140" w:val="left"/>
          <w:tab w:leader="none" w:pos="850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23495</wp:posOffset>
            </wp:positionV>
            <wp:extent cx="27260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and Chief Financial Officer</w:t>
      </w:r>
    </w:p>
    <w:p>
      <w:pPr>
        <w:ind w:left="834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320" w:top="122" w:right="7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Corporation (the "registrant");</w:t>
      </w:r>
    </w:p>
    <w:p>
      <w:pPr>
        <w:spacing w:after="0" w:line="130"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140" w:hanging="666"/>
        <w:spacing w:after="0" w:line="229"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60" w:hanging="666"/>
        <w:spacing w:after="0" w:line="229"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480" w:hanging="666"/>
        <w:spacing w:after="0" w:line="307"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660" w:val="left"/>
          <w:tab w:leader="none" w:pos="8260" w:val="left"/>
          <w:tab w:leader="none" w:pos="860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Corporation (the "registrant");</w:t>
      </w:r>
    </w:p>
    <w:p>
      <w:pPr>
        <w:spacing w:after="0" w:line="130" w:lineRule="exact"/>
        <w:rPr>
          <w:rFonts w:ascii="Arial" w:cs="Arial" w:eastAsia="Arial" w:hAnsi="Arial"/>
          <w:sz w:val="18"/>
          <w:szCs w:val="18"/>
          <w:color w:val="auto"/>
        </w:rPr>
      </w:pPr>
    </w:p>
    <w:p>
      <w:pPr>
        <w:jc w:val="both"/>
        <w:ind w:left="680" w:right="100" w:hanging="654"/>
        <w:spacing w:after="0" w:line="229"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80" w:right="100" w:hanging="654"/>
        <w:spacing w:after="0" w:line="229"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40" w:right="140" w:hanging="666"/>
        <w:spacing w:after="0" w:line="229"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60" w:hanging="666"/>
        <w:spacing w:after="0" w:line="229"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40" w:right="480" w:hanging="666"/>
        <w:spacing w:after="0" w:line="307" w:lineRule="auto"/>
        <w:tabs>
          <w:tab w:leader="none" w:pos="1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600" w:val="left"/>
          <w:tab w:leader="none" w:pos="822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Executive Vice President and Chief Financial Officer</w:t>
      </w:r>
    </w:p>
    <w:p>
      <w:pPr>
        <w:ind w:left="8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connection with the Quarterly Report of Westlake Corporation (the "Company") on Form 10-Q for the fiscal quarter ended September 30, 2023 as filed with the Securities and Exchange Commission on the date hereof (the "Report"), I, Albert Chao,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32"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President and Chief Executive Officer</w:t>
      </w:r>
    </w:p>
    <w:p>
      <w:pPr>
        <w:ind w:left="8200"/>
        <w:spacing w:after="0"/>
        <w:rPr>
          <w:sz w:val="20"/>
          <w:szCs w:val="20"/>
          <w:color w:val="auto"/>
        </w:rPr>
      </w:pPr>
      <w:r>
        <w:rPr>
          <w:rFonts w:ascii="Arial" w:cs="Arial" w:eastAsia="Arial" w:hAnsi="Arial"/>
          <w:sz w:val="14"/>
          <w:szCs w:val="14"/>
          <w:b w:val="1"/>
          <w:bCs w:val="1"/>
          <w:color w:val="auto"/>
        </w:rPr>
        <w:t>(Principal Executive Officer)</w:t>
      </w:r>
    </w:p>
    <w:p>
      <w:pPr>
        <w:spacing w:after="0" w:line="344"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Arial" w:cs="Arial" w:eastAsia="Arial" w:hAnsi="Arial"/>
          <w:sz w:val="18"/>
          <w:szCs w:val="18"/>
          <w:color w:val="auto"/>
        </w:rPr>
        <w:t>Date:</w:t>
        <w:tab/>
        <w:t>November 2,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20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Executive Vice President and Chief Financial Officer</w:t>
      </w:r>
    </w:p>
    <w:p>
      <w:pPr>
        <w:ind w:left="82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2"/>
    </w:lvl>
  </w:abstractNum>
  <w:abstractNum w:abstractNumId="3">
    <w:nsid w:val="1F16E9E8"/>
    <w:multiLevelType w:val="hybridMultilevel"/>
    <w:lvl w:ilvl="0">
      <w:lvlJc w:val="left"/>
      <w:lvlText w:val="%1."/>
      <w:numFmt w:val="decimal"/>
      <w:start w:val="1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4" Type="http://schemas.openxmlformats.org/officeDocument/2006/relationships/hyperlink" Target="https://www.sec.gov/Archives/edgar/data/1262823/000095012904005754/h15326a4exv3w1.txt" TargetMode="External"/><Relationship Id="rId65" Type="http://schemas.openxmlformats.org/officeDocument/2006/relationships/hyperlink" Target="http://www.sec.gov/Archives/edgar/data/1262823/000119312514202875/d726191dex31.htm" TargetMode="External"/><Relationship Id="rId66" Type="http://schemas.openxmlformats.org/officeDocument/2006/relationships/hyperlink" Target="http://www.sec.gov/Archives/edgar/data/1262823/000119312517176637/d352639dex31.htm" TargetMode="External"/><Relationship Id="rId67" Type="http://schemas.openxmlformats.org/officeDocument/2006/relationships/hyperlink" Target="http://www.sec.gov/Archives/edgar/data/0001262823/000126282321000042/ex31_20210513.htm" TargetMode="External"/><Relationship Id="rId68" Type="http://schemas.openxmlformats.org/officeDocument/2006/relationships/hyperlink" Target="http://www.sec.gov/Archives/edgar/data/0001262823/000119312522046627/d270059dex31.htm" TargetMode="External"/><Relationship Id="rId69" Type="http://schemas.openxmlformats.org/officeDocument/2006/relationships/hyperlink" Target="https://www.sec.gov/Archives/edgar/data/1262823/000119312523146155/d505607dex31.htm" TargetMode="External"/><Relationship Id="rId70" Type="http://schemas.openxmlformats.org/officeDocument/2006/relationships/hyperlink" Target="http://www.sec.gov/Archives/edgar/data/0001262823/000119312522046627/d2700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2023-11-02T13:19:15Z</dcterms:created>
  <dcterms:modified xsi:type="dcterms:W3CDTF">2023-11-02T13:19:15Z</dcterms:modified>
</cp:coreProperties>
</file>