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138430</wp:posOffset>
            </wp:positionV>
            <wp:extent cx="3206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5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144145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700" w:right="6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700"/>
        <w:spacing w:after="0"/>
        <w:tabs>
          <w:tab w:leader="none" w:pos="372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June 30, 2023</w:t>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700" w:right="20" w:hanging="666"/>
        <w:spacing w:after="0" w:line="235" w:lineRule="auto"/>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700"/>
        <w:spacing w:after="0"/>
        <w:tabs>
          <w:tab w:leader="none" w:pos="3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154305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Corporation</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0" w:type="dxa"/>
            <w:vAlign w:val="bottom"/>
          </w:tcPr>
          <w:p>
            <w:pPr>
              <w:jc w:val="center"/>
              <w:ind w:right="1036"/>
              <w:spacing w:after="0"/>
              <w:rPr>
                <w:sz w:val="20"/>
                <w:szCs w:val="20"/>
                <w:color w:val="auto"/>
              </w:rPr>
            </w:pPr>
            <w:r>
              <w:rPr>
                <w:rFonts w:ascii="Arial" w:cs="Arial" w:eastAsia="Arial" w:hAnsi="Arial"/>
                <w:sz w:val="18"/>
                <w:szCs w:val="18"/>
                <w:b w:val="1"/>
                <w:bCs w:val="1"/>
                <w:color w:val="auto"/>
                <w:w w:val="91"/>
              </w:rPr>
              <w:t>76-0346924</w:t>
            </w:r>
          </w:p>
        </w:tc>
      </w:tr>
      <w:tr>
        <w:trPr>
          <w:trHeight w:val="148"/>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0" w:type="dxa"/>
            <w:vAlign w:val="bottom"/>
          </w:tcPr>
          <w:p>
            <w:pPr>
              <w:jc w:val="center"/>
              <w:ind w:right="103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Arial" w:cs="Arial" w:eastAsia="Arial" w:hAnsi="Arial"/>
                <w:sz w:val="14"/>
                <w:szCs w:val="14"/>
                <w:b w:val="1"/>
                <w:bCs w:val="1"/>
                <w:color w:val="auto"/>
                <w:w w:val="94"/>
              </w:rPr>
              <w:t>incorporation or organization)</w:t>
            </w:r>
          </w:p>
        </w:tc>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0" w:type="dxa"/>
            <w:vAlign w:val="bottom"/>
          </w:tcPr>
          <w:p>
            <w:pPr>
              <w:jc w:val="center"/>
              <w:ind w:right="1036"/>
              <w:spacing w:after="0"/>
              <w:rPr>
                <w:sz w:val="20"/>
                <w:szCs w:val="20"/>
                <w:color w:val="auto"/>
              </w:rPr>
            </w:pPr>
            <w:r>
              <w:rPr>
                <w:rFonts w:ascii="Arial" w:cs="Arial" w:eastAsia="Arial" w:hAnsi="Arial"/>
                <w:sz w:val="14"/>
                <w:szCs w:val="14"/>
                <w:b w:val="1"/>
                <w:bCs w:val="1"/>
                <w:color w:val="auto"/>
                <w:w w:val="96"/>
              </w:rPr>
              <w:t>Identification Number)</w:t>
            </w:r>
          </w:p>
        </w:tc>
      </w:tr>
      <w:tr>
        <w:trPr>
          <w:trHeight w:val="466"/>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gridSpan w:val="2"/>
          </w:tcPr>
          <w:p>
            <w:pPr>
              <w:jc w:val="center"/>
              <w:ind w:left="25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r>
      <w:tr>
        <w:trPr>
          <w:trHeight w:val="212"/>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2"/>
          </w:tcPr>
          <w:p>
            <w:pPr>
              <w:jc w:val="center"/>
              <w:ind w:left="27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r>
      <w:tr>
        <w:trPr>
          <w:trHeight w:val="186"/>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40" w:type="dxa"/>
            <w:vAlign w:val="bottom"/>
            <w:gridSpan w:val="3"/>
          </w:tcPr>
          <w:p>
            <w:pPr>
              <w:jc w:val="center"/>
              <w:ind w:right="3576"/>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67"/>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Arial" w:cs="Arial" w:eastAsia="Arial" w:hAnsi="Arial"/>
                <w:sz w:val="18"/>
                <w:szCs w:val="18"/>
                <w:b w:val="1"/>
                <w:bCs w:val="1"/>
                <w:color w:val="auto"/>
                <w:w w:val="89"/>
              </w:rPr>
              <w:t>(713) 960-9111</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6"/>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40" w:type="dxa"/>
            <w:vAlign w:val="bottom"/>
            <w:gridSpan w:val="3"/>
          </w:tcPr>
          <w:p>
            <w:pPr>
              <w:jc w:val="center"/>
              <w:ind w:right="357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71"/>
        </w:trPr>
        <w:tc>
          <w:tcPr>
            <w:tcW w:w="71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00" w:type="dxa"/>
            <w:vAlign w:val="bottom"/>
          </w:tcPr>
          <w:p>
            <w:pPr>
              <w:spacing w:after="0"/>
              <w:rPr>
                <w:sz w:val="24"/>
                <w:szCs w:val="24"/>
                <w:color w:val="auto"/>
              </w:rPr>
            </w:pPr>
          </w:p>
        </w:tc>
      </w:tr>
      <w:tr>
        <w:trPr>
          <w:trHeight w:val="122"/>
        </w:trPr>
        <w:tc>
          <w:tcPr>
            <w:tcW w:w="140" w:type="dxa"/>
            <w:vAlign w:val="bottom"/>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b w:val="1"/>
                <w:bCs w:val="1"/>
                <w:color w:val="auto"/>
                <w:w w:val="91"/>
              </w:rPr>
              <w:t>Trading Symbol(s)</w:t>
            </w:r>
          </w:p>
        </w:tc>
        <w:tc>
          <w:tcPr>
            <w:tcW w:w="40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color w:val="auto"/>
              </w:rPr>
              <w:t>WLK</w:t>
            </w:r>
          </w:p>
        </w:tc>
        <w:tc>
          <w:tcPr>
            <w:tcW w:w="40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8"/>
                <w:szCs w:val="18"/>
                <w:color w:val="auto"/>
                <w:w w:val="90"/>
              </w:rPr>
              <w:t>The New York Stock Exchange</w:t>
            </w:r>
          </w:p>
        </w:tc>
      </w:tr>
      <w:tr>
        <w:trPr>
          <w:trHeight w:val="230"/>
        </w:trPr>
        <w:tc>
          <w:tcPr>
            <w:tcW w:w="140" w:type="dxa"/>
            <w:vAlign w:val="bottom"/>
            <w:tcBorders>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1.625% Senior Notes due 2029</w:t>
            </w:r>
          </w:p>
        </w:tc>
        <w:tc>
          <w:tcPr>
            <w:tcW w:w="40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Arial" w:cs="Arial" w:eastAsia="Arial" w:hAnsi="Arial"/>
                <w:sz w:val="18"/>
                <w:szCs w:val="18"/>
                <w:color w:val="auto"/>
              </w:rPr>
              <w:t>WLK29</w:t>
            </w:r>
          </w:p>
        </w:tc>
        <w:tc>
          <w:tcPr>
            <w:tcW w:w="40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8"/>
                <w:szCs w:val="18"/>
                <w:color w:val="auto"/>
                <w:w w:val="90"/>
              </w:rPr>
              <w:t>The New York Stock Exchange</w:t>
            </w:r>
          </w:p>
        </w:tc>
      </w:tr>
    </w:tbl>
    <w:p>
      <w:pPr>
        <w:spacing w:after="0" w:line="200" w:lineRule="exact"/>
        <w:rPr>
          <w:sz w:val="24"/>
          <w:szCs w:val="24"/>
          <w:color w:val="auto"/>
        </w:rPr>
      </w:pPr>
    </w:p>
    <w:p>
      <w:pPr>
        <w:spacing w:after="0" w:line="204" w:lineRule="exact"/>
        <w:rPr>
          <w:sz w:val="24"/>
          <w:szCs w:val="24"/>
          <w:color w:val="auto"/>
        </w:rPr>
      </w:pPr>
    </w:p>
    <w:p>
      <w:pPr>
        <w:ind w:right="2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22" w:lineRule="exact"/>
        <w:rPr>
          <w:sz w:val="24"/>
          <w:szCs w:val="24"/>
          <w:color w:val="auto"/>
        </w:rPr>
      </w:pPr>
    </w:p>
    <w:p>
      <w:pPr>
        <w:ind w:right="32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40"/>
              <w:spacing w:after="0"/>
              <w:rPr>
                <w:sz w:val="20"/>
                <w:szCs w:val="20"/>
                <w:color w:val="auto"/>
              </w:rPr>
            </w:pPr>
            <w:r>
              <w:rPr>
                <w:rFonts w:ascii="Arial" w:cs="Arial" w:eastAsia="Arial" w:hAnsi="Arial"/>
                <w:sz w:val="18"/>
                <w:szCs w:val="18"/>
                <w:color w:val="auto"/>
              </w:rPr>
              <w:t>x</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4" w:lineRule="exact"/>
        <w:rPr>
          <w:sz w:val="24"/>
          <w:szCs w:val="24"/>
          <w:color w:val="auto"/>
        </w:rPr>
      </w:pPr>
    </w:p>
    <w:p>
      <w:pPr>
        <w:ind w:right="1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right="1620"/>
        <w:spacing w:after="0" w:line="32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x The number of shares outstanding of the registrant's sole class of common stock as of July 27, 2023 was 127,687,296.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691"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2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3)</w:t>
            </w:r>
          </w:p>
        </w:tc>
        <w:tc>
          <w:tcPr>
            <w:tcW w:w="99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4)</w:t>
            </w:r>
          </w:p>
        </w:tc>
        <w:tc>
          <w:tcPr>
            <w:tcW w:w="99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1A) 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5)</w:t>
            </w:r>
          </w:p>
        </w:tc>
        <w:tc>
          <w:tcPr>
            <w:tcW w:w="99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6)</w:t>
            </w:r>
          </w:p>
        </w:tc>
        <w:tc>
          <w:tcPr>
            <w:tcW w:w="9920" w:type="dxa"/>
            <w:vAlign w:val="bottom"/>
          </w:tcPr>
          <w:p>
            <w:pPr>
              <w:ind w:left="20"/>
              <w:spacing w:after="0"/>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7"/>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(in millions of dollars, except</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par values and share amounts)</w:t>
            </w: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net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9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50,000,000 shares authorized; no shares issued and outstanding</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360"/>
              <w:spacing w:after="0" w:line="176" w:lineRule="exact"/>
              <w:rPr>
                <w:sz w:val="20"/>
                <w:szCs w:val="20"/>
                <w:color w:val="auto"/>
              </w:rPr>
            </w:pPr>
            <w:r>
              <w:rPr>
                <w:rFonts w:ascii="Arial" w:cs="Arial" w:eastAsia="Arial" w:hAnsi="Arial"/>
                <w:sz w:val="18"/>
                <w:szCs w:val="18"/>
                <w:color w:val="auto"/>
                <w:w w:val="95"/>
              </w:rPr>
              <w:t>Common stock, $0.01 par value, 300,000,000 shares authorized; 134,651,380 and 134,651,380 shares</w:t>
            </w: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Pr>
          <w:p>
            <w:pPr>
              <w:ind w:left="520"/>
              <w:spacing w:after="0"/>
              <w:rPr>
                <w:sz w:val="20"/>
                <w:szCs w:val="20"/>
                <w:color w:val="auto"/>
              </w:rPr>
            </w:pPr>
            <w:r>
              <w:rPr>
                <w:rFonts w:ascii="Arial" w:cs="Arial" w:eastAsia="Arial" w:hAnsi="Arial"/>
                <w:sz w:val="18"/>
                <w:szCs w:val="18"/>
                <w:color w:val="auto"/>
              </w:rPr>
              <w:t>issued at June 30, 2023 and December 31, 2022, respectively</w:t>
            </w:r>
          </w:p>
        </w:tc>
        <w:tc>
          <w:tcPr>
            <w:tcW w:w="3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held in treasury, at cost; 6,965,071 and 7,278,651 shares at June 30, 2023 and</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2022, respectively</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Westlake Corporation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millions of dollars, except per share data and share amounts)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Restructuring, transaction and integration-related costs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Westlake Corporation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Earnings per common share attributable to Westlake Corporation: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5.35</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127,649,341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128,341,132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127,599,093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128,206,988</w:t>
            </w:r>
          </w:p>
        </w:tc>
        <w:tc>
          <w:tcPr>
            <w:tcW w:w="0" w:type="dxa"/>
            <w:vAlign w:val="bottom"/>
          </w:tcPr>
          <w:p>
            <w:pPr>
              <w:spacing w:after="0"/>
              <w:rPr>
                <w:sz w:val="1"/>
                <w:szCs w:val="1"/>
                <w:color w:val="auto"/>
              </w:rPr>
            </w:pPr>
          </w:p>
        </w:tc>
      </w:tr>
      <w:tr>
        <w:trPr>
          <w:trHeight w:val="261"/>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128,484,016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129,341,096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128,471,760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129,134,246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other post-retirement benefits liability</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660"/>
              <w:spacing w:after="0" w:line="176" w:lineRule="exact"/>
              <w:rPr>
                <w:sz w:val="20"/>
                <w:szCs w:val="20"/>
                <w:color w:val="auto"/>
              </w:rPr>
            </w:pPr>
            <w:r>
              <w:rPr>
                <w:rFonts w:ascii="Arial" w:cs="Arial" w:eastAsia="Arial" w:hAnsi="Arial"/>
                <w:sz w:val="18"/>
                <w:szCs w:val="18"/>
                <w:color w:val="auto"/>
              </w:rPr>
              <w:t>Pension and other post-retirement benefits reserves</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200" w:type="dxa"/>
            <w:vAlign w:val="bottom"/>
          </w:tcPr>
          <w:p>
            <w:pPr>
              <w:ind w:left="820"/>
              <w:spacing w:after="0"/>
              <w:rPr>
                <w:sz w:val="20"/>
                <w:szCs w:val="20"/>
                <w:color w:val="auto"/>
              </w:rPr>
            </w:pPr>
            <w:r>
              <w:rPr>
                <w:rFonts w:ascii="Arial" w:cs="Arial" w:eastAsia="Arial" w:hAnsi="Arial"/>
                <w:sz w:val="18"/>
                <w:szCs w:val="18"/>
                <w:color w:val="auto"/>
              </w:rPr>
              <w:t>adjustment</w:t>
            </w:r>
          </w:p>
        </w:tc>
        <w:tc>
          <w:tcPr>
            <w:tcW w:w="9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660"/>
              <w:spacing w:after="0" w:line="182" w:lineRule="exact"/>
              <w:rPr>
                <w:sz w:val="20"/>
                <w:szCs w:val="20"/>
                <w:color w:val="auto"/>
              </w:rPr>
            </w:pPr>
            <w:r>
              <w:rPr>
                <w:rFonts w:ascii="Arial" w:cs="Arial" w:eastAsia="Arial" w:hAnsi="Arial"/>
                <w:sz w:val="18"/>
                <w:szCs w:val="18"/>
                <w:color w:val="auto"/>
                <w:w w:val="97"/>
              </w:rPr>
              <w:t>Income tax provision on pension and other post-retirement</w:t>
            </w: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benefits liability</w:t>
            </w:r>
          </w:p>
        </w:tc>
        <w:tc>
          <w:tcPr>
            <w:tcW w:w="9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6"/>
        </w:trPr>
        <w:tc>
          <w:tcPr>
            <w:tcW w:w="5200" w:type="dxa"/>
            <w:vAlign w:val="bottom"/>
          </w:tcPr>
          <w:p>
            <w:pPr>
              <w:ind w:left="660"/>
              <w:spacing w:after="0" w:line="176" w:lineRule="exact"/>
              <w:rPr>
                <w:sz w:val="20"/>
                <w:szCs w:val="20"/>
                <w:color w:val="auto"/>
              </w:rPr>
            </w:pPr>
            <w:r>
              <w:rPr>
                <w:rFonts w:ascii="Arial" w:cs="Arial" w:eastAsia="Arial" w:hAnsi="Arial"/>
                <w:sz w:val="18"/>
                <w:szCs w:val="18"/>
                <w:color w:val="auto"/>
              </w:rPr>
              <w:t>Income tax (provision) benefit on foreign currency</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00" w:type="dxa"/>
            <w:vAlign w:val="bottom"/>
          </w:tcPr>
          <w:p>
            <w:pPr>
              <w:ind w:left="820"/>
              <w:spacing w:after="0"/>
              <w:rPr>
                <w:sz w:val="20"/>
                <w:szCs w:val="20"/>
                <w:color w:val="auto"/>
              </w:rPr>
            </w:pPr>
            <w:r>
              <w:rPr>
                <w:rFonts w:ascii="Arial" w:cs="Arial" w:eastAsia="Arial" w:hAnsi="Arial"/>
                <w:sz w:val="18"/>
                <w:szCs w:val="18"/>
                <w:color w:val="auto"/>
              </w:rPr>
              <w:t>translation</w:t>
            </w:r>
          </w:p>
        </w:tc>
        <w:tc>
          <w:tcPr>
            <w:tcW w:w="9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 of income tax</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168"/>
        </w:trPr>
        <w:tc>
          <w:tcPr>
            <w:tcW w:w="5200" w:type="dxa"/>
            <w:vAlign w:val="bottom"/>
          </w:tcPr>
          <w:p>
            <w:pPr>
              <w:ind w:left="340"/>
              <w:spacing w:after="0" w:line="168" w:lineRule="exact"/>
              <w:rPr>
                <w:sz w:val="20"/>
                <w:szCs w:val="20"/>
                <w:color w:val="auto"/>
              </w:rPr>
            </w:pPr>
            <w:r>
              <w:rPr>
                <w:rFonts w:ascii="Arial" w:cs="Arial" w:eastAsia="Arial" w:hAnsi="Arial"/>
                <w:sz w:val="18"/>
                <w:szCs w:val="18"/>
                <w:color w:val="auto"/>
                <w:w w:val="97"/>
              </w:rPr>
              <w:t>Comprehensive income attributable to noncontrolling interests,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500"/>
              <w:spacing w:after="0" w:line="176" w:lineRule="exact"/>
              <w:rPr>
                <w:sz w:val="20"/>
                <w:szCs w:val="20"/>
                <w:color w:val="auto"/>
              </w:rPr>
            </w:pPr>
            <w:r>
              <w:rPr>
                <w:rFonts w:ascii="Arial" w:cs="Arial" w:eastAsia="Arial" w:hAnsi="Arial"/>
                <w:sz w:val="18"/>
                <w:szCs w:val="18"/>
                <w:color w:val="auto"/>
                <w:w w:val="98"/>
              </w:rPr>
              <w:t>net of tax of $1 and $1 for the three months ended June 30,</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500"/>
              <w:spacing w:after="0" w:line="176" w:lineRule="exact"/>
              <w:rPr>
                <w:sz w:val="20"/>
                <w:szCs w:val="20"/>
                <w:color w:val="auto"/>
              </w:rPr>
            </w:pPr>
            <w:r>
              <w:rPr>
                <w:rFonts w:ascii="Arial" w:cs="Arial" w:eastAsia="Arial" w:hAnsi="Arial"/>
                <w:sz w:val="18"/>
                <w:szCs w:val="18"/>
                <w:color w:val="auto"/>
                <w:w w:val="95"/>
              </w:rPr>
              <w:t>2023 and 2022; and net of tax of $2 and $2 for the six months</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ended June 30, 2023 and 2022, respectively</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Westlake Corporation</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2000" w:type="dxa"/>
            <w:vAlign w:val="bottom"/>
            <w:gridSpan w:val="4"/>
            <w:vMerge w:val="restart"/>
          </w:tcPr>
          <w:p>
            <w:pPr>
              <w:jc w:val="right"/>
              <w:ind w:right="471"/>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920" w:type="dxa"/>
            <w:vAlign w:val="bottom"/>
            <w:gridSpan w:val="4"/>
          </w:tcPr>
          <w:p>
            <w:pPr>
              <w:ind w:left="260"/>
              <w:spacing w:after="0"/>
              <w:rPr>
                <w:sz w:val="20"/>
                <w:szCs w:val="20"/>
                <w:color w:val="auto"/>
              </w:rPr>
            </w:pPr>
            <w:r>
              <w:rPr>
                <w:rFonts w:ascii="Arial" w:cs="Arial" w:eastAsia="Arial" w:hAnsi="Arial"/>
                <w:sz w:val="13"/>
                <w:szCs w:val="13"/>
                <w:b w:val="1"/>
                <w:bCs w:val="1"/>
                <w:color w:val="auto"/>
              </w:rPr>
              <w:t>Common Stock, Held 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Treasury</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2"/>
              <w:spacing w:after="0" w:line="136"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Noncontrolling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51"/>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At 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Paid-in 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7"/>
          </w:tcPr>
          <w:p>
            <w:pPr>
              <w:spacing w:after="0"/>
              <w:rPr>
                <w:sz w:val="20"/>
                <w:szCs w:val="20"/>
                <w:color w:val="auto"/>
              </w:rPr>
            </w:pPr>
            <w:r>
              <w:rPr>
                <w:rFonts w:ascii="Arial" w:cs="Arial" w:eastAsia="Arial" w:hAnsi="Arial"/>
                <w:sz w:val="13"/>
                <w:szCs w:val="13"/>
                <w:b w:val="1"/>
                <w:bCs w:val="1"/>
                <w:color w:val="auto"/>
                <w:w w:val="95"/>
              </w:rPr>
              <w:t>(in millions of dollars, except share amounts)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Balances at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7,278,651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center"/>
              <w:ind w:left="432"/>
              <w:spacing w:after="0"/>
              <w:rPr>
                <w:sz w:val="20"/>
                <w:szCs w:val="20"/>
                <w:color w:val="auto"/>
              </w:rPr>
            </w:pPr>
            <w:r>
              <w:rPr>
                <w:rFonts w:ascii="Arial" w:cs="Arial" w:eastAsia="Arial" w:hAnsi="Arial"/>
                <w:sz w:val="18"/>
                <w:szCs w:val="18"/>
                <w:color w:val="auto"/>
                <w:w w:val="93"/>
              </w:rPr>
              <w:t>(89)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2022</w:t>
            </w:r>
          </w:p>
        </w:tc>
        <w:tc>
          <w:tcPr>
            <w:tcW w:w="100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left="472"/>
              <w:spacing w:after="0"/>
              <w:rPr>
                <w:sz w:val="20"/>
                <w:szCs w:val="20"/>
                <w:color w:val="auto"/>
              </w:rPr>
            </w:pPr>
            <w:r>
              <w:rPr>
                <w:rFonts w:ascii="Arial" w:cs="Arial" w:eastAsia="Arial" w:hAnsi="Arial"/>
                <w:sz w:val="18"/>
                <w:szCs w:val="18"/>
                <w:color w:val="auto"/>
                <w:w w:val="89"/>
              </w:rPr>
              <w:t>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201,742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0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Shares issued—stock-</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(469,404)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80"/>
              <w:spacing w:after="0" w:line="189" w:lineRule="exact"/>
              <w:rPr>
                <w:sz w:val="20"/>
                <w:szCs w:val="20"/>
                <w:color w:val="auto"/>
              </w:rPr>
            </w:pPr>
            <w:r>
              <w:rPr>
                <w:rFonts w:ascii="Arial" w:cs="Arial" w:eastAsia="Arial" w:hAnsi="Arial"/>
                <w:sz w:val="18"/>
                <w:szCs w:val="18"/>
                <w:color w:val="auto"/>
              </w:rPr>
              <w:t>noncontrolling</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Balances at March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7,010,989</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center"/>
              <w:ind w:left="432"/>
              <w:spacing w:after="0"/>
              <w:rPr>
                <w:sz w:val="20"/>
                <w:szCs w:val="20"/>
                <w:color w:val="auto"/>
              </w:rPr>
            </w:pPr>
            <w:r>
              <w:rPr>
                <w:rFonts w:ascii="Arial" w:cs="Arial" w:eastAsia="Arial" w:hAnsi="Arial"/>
                <w:sz w:val="18"/>
                <w:szCs w:val="18"/>
                <w:color w:val="auto"/>
                <w:w w:val="93"/>
              </w:rPr>
              <w:t>(67)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100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left="432"/>
              <w:spacing w:after="0"/>
              <w:rPr>
                <w:sz w:val="20"/>
                <w:szCs w:val="20"/>
                <w:color w:val="auto"/>
              </w:rPr>
            </w:pPr>
            <w:r>
              <w:rPr>
                <w:rFonts w:ascii="Arial" w:cs="Arial" w:eastAsia="Arial" w:hAnsi="Arial"/>
                <w:sz w:val="18"/>
                <w:szCs w:val="18"/>
                <w:color w:val="auto"/>
                <w:w w:val="93"/>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9,552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Shares issued—stock-</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80"/>
              <w:spacing w:after="0" w:line="189" w:lineRule="exact"/>
              <w:rPr>
                <w:sz w:val="20"/>
                <w:szCs w:val="20"/>
                <w:color w:val="auto"/>
              </w:rPr>
            </w:pPr>
            <w:r>
              <w:rPr>
                <w:rFonts w:ascii="Arial" w:cs="Arial" w:eastAsia="Arial" w:hAnsi="Arial"/>
                <w:sz w:val="18"/>
                <w:szCs w:val="18"/>
                <w:color w:val="auto"/>
              </w:rPr>
              <w:t>noncontrolling</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Balances at June 30,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6,965,071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center"/>
              <w:ind w:left="432"/>
              <w:spacing w:after="0"/>
              <w:rPr>
                <w:sz w:val="20"/>
                <w:szCs w:val="20"/>
                <w:color w:val="auto"/>
              </w:rPr>
            </w:pPr>
            <w:r>
              <w:rPr>
                <w:rFonts w:ascii="Arial" w:cs="Arial" w:eastAsia="Arial" w:hAnsi="Arial"/>
                <w:sz w:val="18"/>
                <w:szCs w:val="18"/>
                <w:color w:val="auto"/>
                <w:w w:val="93"/>
              </w:rPr>
              <w:t>(79)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100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2000" w:type="dxa"/>
            <w:vAlign w:val="bottom"/>
            <w:gridSpan w:val="4"/>
            <w:vMerge w:val="restart"/>
          </w:tcPr>
          <w:p>
            <w:pPr>
              <w:jc w:val="right"/>
              <w:ind w:right="471"/>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920" w:type="dxa"/>
            <w:vAlign w:val="bottom"/>
            <w:gridSpan w:val="4"/>
          </w:tcPr>
          <w:p>
            <w:pPr>
              <w:ind w:left="260"/>
              <w:spacing w:after="0"/>
              <w:rPr>
                <w:sz w:val="20"/>
                <w:szCs w:val="20"/>
                <w:color w:val="auto"/>
              </w:rPr>
            </w:pPr>
            <w:r>
              <w:rPr>
                <w:rFonts w:ascii="Arial" w:cs="Arial" w:eastAsia="Arial" w:hAnsi="Arial"/>
                <w:sz w:val="13"/>
                <w:szCs w:val="13"/>
                <w:b w:val="1"/>
                <w:bCs w:val="1"/>
                <w:color w:val="auto"/>
              </w:rPr>
              <w:t>Common Stock, Held 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3"/>
              <w:spacing w:after="0" w:line="136"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91"/>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3"/>
                <w:szCs w:val="13"/>
                <w:b w:val="1"/>
                <w:bCs w:val="1"/>
                <w:color w:val="auto"/>
                <w:w w:val="99"/>
              </w:rPr>
              <w:t>At 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Loss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9"/>
              </w:rPr>
              <w:t>Interests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7"/>
          </w:tcPr>
          <w:p>
            <w:pPr>
              <w:jc w:val="right"/>
              <w:ind w:right="32"/>
              <w:spacing w:after="0"/>
              <w:rPr>
                <w:sz w:val="20"/>
                <w:szCs w:val="20"/>
                <w:color w:val="auto"/>
              </w:rPr>
            </w:pPr>
            <w:r>
              <w:rPr>
                <w:rFonts w:ascii="Arial" w:cs="Arial" w:eastAsia="Arial" w:hAnsi="Arial"/>
                <w:sz w:val="13"/>
                <w:szCs w:val="13"/>
                <w:b w:val="1"/>
                <w:bCs w:val="1"/>
                <w:color w:val="auto"/>
                <w:w w:val="92"/>
              </w:rPr>
              <w:t>(in millions of dollars, except share amounts)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Balances at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6,735,639</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0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comprehensive loss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line="189" w:lineRule="exact"/>
              <w:rPr>
                <w:sz w:val="20"/>
                <w:szCs w:val="20"/>
                <w:color w:val="auto"/>
              </w:rPr>
            </w:pPr>
            <w:r>
              <w:rPr>
                <w:rFonts w:ascii="Arial" w:cs="Arial" w:eastAsia="Arial" w:hAnsi="Arial"/>
                <w:sz w:val="18"/>
                <w:szCs w:val="18"/>
                <w:color w:val="auto"/>
              </w:rPr>
              <w:t>Shares issued—stock-</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(403,743)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noncontrolling interests</w:t>
            </w: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Balances at March 31,</w:t>
            </w: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6,331,896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comprehensive loss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412,490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00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Shares issued—stock-</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(103,079)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7"/>
              </w:rPr>
              <w:t>noncontrolling interests</w:t>
            </w: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Balances at June 30,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134,651,380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6,641,307</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2022</w:t>
            </w: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96"/>
        </w:trPr>
        <w:tc>
          <w:tcPr>
            <w:tcW w:w="82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r>
      <w:tr>
        <w:trPr>
          <w:trHeight w:val="218"/>
        </w:trPr>
        <w:tc>
          <w:tcPr>
            <w:tcW w:w="8260" w:type="dxa"/>
            <w:vAlign w:val="bottom"/>
          </w:tcPr>
          <w:p>
            <w:pPr>
              <w:spacing w:after="0"/>
              <w:rPr>
                <w:sz w:val="18"/>
                <w:szCs w:val="18"/>
                <w:color w:val="auto"/>
              </w:rPr>
            </w:pPr>
          </w:p>
        </w:tc>
        <w:tc>
          <w:tcPr>
            <w:tcW w:w="242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(in millions of dollars)</w:t>
            </w:r>
          </w:p>
        </w:tc>
        <w:tc>
          <w:tcPr>
            <w:tcW w:w="560" w:type="dxa"/>
            <w:vAlign w:val="bottom"/>
          </w:tcPr>
          <w:p>
            <w:pPr>
              <w:spacing w:after="0"/>
              <w:rPr>
                <w:sz w:val="18"/>
                <w:szCs w:val="18"/>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714</w:t>
            </w:r>
          </w:p>
        </w:tc>
        <w:tc>
          <w:tcPr>
            <w:tcW w:w="10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Loss from disposition and write-off of property, plant and equipment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Other losses, net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effect of business acquisitions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1,067</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(1,163)</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investments in unconsolidated subsidiaries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(1,803)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Repayment of senior notes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for treasury</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2,246</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Financial Statements</w:t>
      </w:r>
    </w:p>
    <w:p>
      <w:pPr>
        <w:spacing w:after="0" w:line="94"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2022 (the "2022 Form 10-K"), filed with the SEC on February 22, 2023. These consolidated financial statements have been prepared in conformity with the accounting principles and practices as disclosed in the notes to the consolidated financial statements of the Company for the fiscal year ended December 31, 2022.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14"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June 30, 2023, its results of operations for the six months ended June 30, 2023 and 2022, and the changes in its cash position for the six months ended June 30, 2023 and 2022.</w:t>
      </w:r>
    </w:p>
    <w:p>
      <w:pPr>
        <w:spacing w:after="0" w:line="95"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Results of operations and changes in cash position for the interim periods presented are not necessarily indicative of the results that will be realized for the fiscal year ending December 31, 2023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(Topic 842): Common Control Arrangements ASU 2023-01</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March 2023, the Financial Accounting Standards Board ("FASB") issued accounting standards update No. 2023-01 to amend certain provisions of ASC 842 that apply to arrangements between related parties under common control. The update requires all companies to amortize leasehold improvements associated with common control leases over the asset’s useful life to the common control group regardless of the lease term. The amendment in this update is effective for all entities in fiscal years beginning after December 15, 2023, including interim periods within those fiscal years. Early application is permitted. The Company is currently evaluating the impact of this accounting standard on the Company's consolidated financial position, results of operations and cash flows.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 Supplier Finance Programs (ASU No. 2022-04)</w:t>
      </w:r>
    </w:p>
    <w:p>
      <w:pPr>
        <w:spacing w:after="0" w:line="90"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September 2022, the FASB issued accounting standards update No. 2022-04 to enhance transparency of supplier finance programs. Under the ASU, the buyer in a supplier finance program is required to disclose information about the key terms of the program, outstanding confirmed amounts as of the end of the period, a rollforward of the amount of obligations confirmed and the amount of obligations subsequently paid, and a description of where in the financial statements outstanding amounts are presented. The amendments in this update became effective for all entities for fiscal years beginning after December 15, 2022, including interim periods within those fiscal years, except for the disclosure of rollforward information, which is effective for fiscal years beginning after December 15, 2023. The Company adopted this accounting standard effective January 1, 2023, and the adoption did not have a material impact on the Company's consolidated financial position, results of operations and cash flows.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 Accounting for Contract Assets and Contract Liabilities from Contracts with Customers Update (ASU No.2021-08)</w:t>
      </w:r>
    </w:p>
    <w:p>
      <w:pPr>
        <w:spacing w:after="0" w:line="9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October 2021, the FASB issued an accounting standards update that requires acquiring entities to recognize and measure contract assets and contract liabilities in a business combination in accordance with the accounting guidance on Revenue from Contracts with Customers (ASC 606). The guidance in this update improves comparability for both the recognition and measurement of acquired revenue contracts with customers at the date of and after a business combination. The accounting standard became effective for reporting periods beginning after December 15, 2022. The Company adopted this accounting standard effective January 1, 2023, and the standard will be applicable to future business combinations.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 of 2022</w:t>
      </w:r>
    </w:p>
    <w:p>
      <w:pPr>
        <w:spacing w:after="0" w:line="10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August 16, 2022, the Inflation Reduction Act of 2022 (the "IRA") was signed into law. The IRA contains several revisions to the Internal Revenue Code, including a 15% corporate minimum income tax for corporations with average annual adjusted financial statement income over a three-tax-year period in excess of $1 billion and is effective for the tax years beginning after December 31, 2022, a 1% excise tax on stock repurchases made by publicly traded U.S. corporations after December 31, 2022, and business tax credits and incentives for the development of clean energy projects and the production of clean energy. At this time, the Company does not expect the IRA will have a material impact on the Company's consolidated financial statements. The Company continues to evaluate the IRA's impact as new information and guidance becomes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Hexion Epoxy Business Acquisition</w:t>
      </w:r>
    </w:p>
    <w:p>
      <w:pPr>
        <w:spacing w:after="0" w:line="108" w:lineRule="exact"/>
        <w:rPr>
          <w:sz w:val="20"/>
          <w:szCs w:val="20"/>
          <w:color w:val="auto"/>
        </w:rPr>
      </w:pPr>
    </w:p>
    <w:p>
      <w:pPr>
        <w:jc w:val="both"/>
        <w:ind w:right="560" w:firstLine="405"/>
        <w:spacing w:after="0" w:line="263" w:lineRule="auto"/>
        <w:rPr>
          <w:sz w:val="20"/>
          <w:szCs w:val="20"/>
          <w:color w:val="auto"/>
        </w:rPr>
      </w:pPr>
      <w:r>
        <w:rPr>
          <w:rFonts w:ascii="Arial" w:cs="Arial" w:eastAsia="Arial" w:hAnsi="Arial"/>
          <w:sz w:val="18"/>
          <w:szCs w:val="18"/>
          <w:color w:val="auto"/>
        </w:rPr>
        <w:t>On February 1, 2022, the Company completed its acquisition of Hexion's global epoxy business ("Westlake Epoxy") for a total final purchase consideration of $1,207. The assets acquired and liabilities assumed and the results of operations of the Westlake Epoxy business are included in the Performance and Essential Materials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0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Company had restricted cash and cash equivalents of $15 and $18 at June 30, 2023 and December 31, 2022,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4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Related parties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taxes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Feedstock, additives, chemicals and other raw materials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1"/>
        </w:trPr>
        <w:tc>
          <w:tcPr>
            <w:tcW w:w="8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amounts and changes in the carrying amount of goodwill for the six months ended June 30,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Performance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Housing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3"/>
              </w:rPr>
              <w:t>Essential Materials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Products Segment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changes in foreign exchange rates</w:t>
            </w:r>
          </w:p>
        </w:tc>
        <w:tc>
          <w:tcPr>
            <w:tcW w:w="2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Balances at June 30, 2023</w:t>
            </w:r>
          </w:p>
        </w:tc>
        <w:tc>
          <w:tcPr>
            <w:tcW w:w="2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7. Accounts Payable</w:t>
            </w: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52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20" w:type="dxa"/>
            <w:vAlign w:val="bottom"/>
          </w:tcPr>
          <w:p>
            <w:pPr>
              <w:ind w:left="420"/>
              <w:spacing w:after="0"/>
              <w:rPr>
                <w:sz w:val="20"/>
                <w:szCs w:val="20"/>
                <w:color w:val="auto"/>
              </w:rPr>
            </w:pPr>
            <w:r>
              <w:rPr>
                <w:rFonts w:ascii="Arial" w:cs="Arial" w:eastAsia="Arial" w:hAnsi="Arial"/>
                <w:sz w:val="18"/>
                <w:szCs w:val="18"/>
                <w:color w:val="auto"/>
              </w:rPr>
              <w:t>Accounts payable consist of the following:</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payable—third parties</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Accounts payable to related parties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180" w:type="dxa"/>
            <w:vAlign w:val="bottom"/>
            <w:vMerge w:val="restart"/>
          </w:tcPr>
          <w:p>
            <w:pPr>
              <w:jc w:val="right"/>
              <w:ind w:right="8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0.875% senior notes due 2024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3.60% senior notes due 2026</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related to tax-exempt waste disposal revenue bonds due 2027</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1.625% €700 million senior notes due 2029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3.50% senior notes due 2032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2.875% senior notes due 2041</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5.00% senior notes due 2046</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notes due 2047</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3.125% senior notes due 2051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2061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loans due 2026</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principal amount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carrying value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Unamortized debt issuance costs on long-term debt were $39 and $40 at June 30, 2023 and December 31, 2022, respectively. As of June 30, 2023, the Company was in compliance with all of its long-term debt 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0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June 30, 2023,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3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June 30, 2023,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accumulated other comprehensive income (loss) by component for the six months ended June 30, 2023 and 2022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Pension and Other</w:t>
            </w:r>
          </w:p>
        </w:tc>
        <w:tc>
          <w:tcPr>
            <w:tcW w:w="120" w:type="dxa"/>
            <w:vAlign w:val="bottom"/>
          </w:tcPr>
          <w:p>
            <w:pPr>
              <w:spacing w:after="0"/>
              <w:rPr>
                <w:sz w:val="14"/>
                <w:szCs w:val="1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Cumulative Foreign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2"/>
              </w:rPr>
              <w:t>Post-Retirement</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14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Benefits Liability, Net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3"/>
              <w:spacing w:after="0" w:line="13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Net of Tax</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of Tax</w:t>
            </w:r>
          </w:p>
        </w:tc>
        <w:tc>
          <w:tcPr>
            <w:tcW w:w="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Exchange, Net of 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w w:val="95"/>
              </w:rPr>
              <w:t>Net other comprehensive income (loss) attributable to Westlake</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ind w:left="10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200" w:type="dxa"/>
            <w:vAlign w:val="bottom"/>
          </w:tcPr>
          <w:p>
            <w:pPr>
              <w:ind w:left="520"/>
              <w:spacing w:after="0"/>
              <w:rPr>
                <w:sz w:val="20"/>
                <w:szCs w:val="20"/>
                <w:color w:val="auto"/>
              </w:rPr>
            </w:pPr>
            <w:r>
              <w:rPr>
                <w:rFonts w:ascii="Arial" w:cs="Arial" w:eastAsia="Arial" w:hAnsi="Arial"/>
                <w:sz w:val="18"/>
                <w:szCs w:val="18"/>
                <w:color w:val="auto"/>
              </w:rPr>
              <w:t>Corporation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8"/>
        </w:trPr>
        <w:tc>
          <w:tcPr>
            <w:tcW w:w="5200" w:type="dxa"/>
            <w:vAlign w:val="bottom"/>
          </w:tcPr>
          <w:p>
            <w:pPr>
              <w:ind w:left="360"/>
              <w:spacing w:after="0" w:line="189" w:lineRule="exact"/>
              <w:rPr>
                <w:sz w:val="20"/>
                <w:szCs w:val="20"/>
                <w:color w:val="auto"/>
              </w:rPr>
            </w:pPr>
            <w:r>
              <w:rPr>
                <w:rFonts w:ascii="Arial" w:cs="Arial" w:eastAsia="Arial" w:hAnsi="Arial"/>
                <w:sz w:val="18"/>
                <w:szCs w:val="18"/>
                <w:color w:val="auto"/>
                <w:w w:val="95"/>
              </w:rPr>
              <w:t>Net other comprehensive income (loss) attributable to Westlake</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Corporation</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w:t>
      </w:r>
    </w:p>
    <w:p>
      <w:pPr>
        <w:spacing w:after="0" w:line="13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and fair values of the Company's total long-term debt are summarized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 2023</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3"/>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jc w:val="center"/>
              <w:ind w:right="382"/>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center"/>
              <w:ind w:right="184"/>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center"/>
              <w:ind w:right="442"/>
              <w:spacing w:after="0" w:line="133" w:lineRule="exact"/>
              <w:rPr>
                <w:sz w:val="20"/>
                <w:szCs w:val="20"/>
                <w:color w:val="auto"/>
              </w:rPr>
            </w:pPr>
            <w:r>
              <w:rPr>
                <w:rFonts w:ascii="Arial" w:cs="Arial" w:eastAsia="Arial" w:hAnsi="Arial"/>
                <w:sz w:val="14"/>
                <w:szCs w:val="14"/>
                <w:b w:val="1"/>
                <w:bCs w:val="1"/>
                <w:color w:val="auto"/>
              </w:rPr>
              <w:t>Fair</w:t>
            </w:r>
          </w:p>
        </w:tc>
      </w:t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0"/>
              </w:rPr>
              <w:t>Value</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4,894</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effective income tax rate was 18.6% for the three months ended June 30, 2023 as compared to 23.9% for the three months ended June 30, 2022. The effective income tax rate for the three months ended June 30, 2023 was below the statutory rate of 21.0% primarily due to U.S. federal research and development credits available to the Company and the reduction of reserves for uncertain income tax positions as a result of a closed federal income tax audit partially offset by state and foreign taxes. The effective income tax rate for the three months ended June 30, 2022 was above the statutory rate of 21.0% primarily due to state and foreign taxes.</w:t>
      </w:r>
    </w:p>
    <w:p>
      <w:pPr>
        <w:spacing w:after="0" w:line="13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effective income tax rate was 20.0% for the six months ended June 30, 2023 as compared to 23.7% for the six months ended June 30, 2022. The effective income tax rate for the six months ended June 30, 2023 was below the statutory rate of 21.0% primarily due to U.S. federal research and development credits available to the Company and the reduction of reserves for uncertain income tax positions as a result of a closed federal income tax audit mostly offset by state and foreign taxes. The effective income tax rate for the six months ended June 30, 2022 was above the statutory rate of 21.0% primarily due to state and foreign taxes.</w:t>
      </w:r>
    </w:p>
    <w:p>
      <w:pPr>
        <w:spacing w:after="0" w:line="224" w:lineRule="exact"/>
        <w:rPr>
          <w:sz w:val="20"/>
          <w:szCs w:val="20"/>
          <w:color w:val="auto"/>
        </w:rPr>
      </w:pPr>
    </w:p>
    <w:p>
      <w:pPr>
        <w:ind w:right="8320" w:firstLine="8"/>
        <w:spacing w:after="0" w:line="354"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Earnings and Dividends per Share </w:t>
      </w:r>
      <w:r>
        <w:rPr>
          <w:rFonts w:ascii="Arial" w:cs="Arial" w:eastAsia="Arial" w:hAnsi="Arial"/>
          <w:sz w:val="18"/>
          <w:szCs w:val="18"/>
          <w:b w:val="1"/>
          <w:bCs w:val="1"/>
          <w:i w:val="1"/>
          <w:iCs w:val="1"/>
          <w:color w:val="auto"/>
        </w:rPr>
        <w:t>Earnings per Share</w:t>
      </w:r>
    </w:p>
    <w:p>
      <w:pPr>
        <w:spacing w:after="0" w:line="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each period. Diluted earnings per share include the effects of certain stock options and performance stock units.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5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200" w:type="dxa"/>
            <w:vAlign w:val="bottom"/>
          </w:tcPr>
          <w:p>
            <w:pPr>
              <w:spacing w:after="0"/>
              <w:rPr>
                <w:sz w:val="15"/>
                <w:szCs w:val="15"/>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Westlake Corporation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Less: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participating securities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296</w:t>
            </w:r>
          </w:p>
        </w:tc>
        <w:tc>
          <w:tcPr>
            <w:tcW w:w="11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0"/>
        </w:trPr>
        <w:tc>
          <w:tcPr>
            <w:tcW w:w="5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reconciles the denominator for the basic and diluted earnings per share computations shown in the consolidated statements of operations: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127,649,341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128,341,132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127,599,093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128,206,988</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Plus incremental shares from:</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Assumed exercise of options and vesting of performance stock</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834,675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999,964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872,667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927,258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128,484,016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129,341,096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128,471,760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129,134,246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w w:val="96"/>
              </w:rPr>
              <w:t>Earnings per common share attributable to Westlake Corporation:</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9"/>
        </w:trPr>
        <w:tc>
          <w:tcPr>
            <w:tcW w:w="50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Excluded from the computation of diluted earnings per share are options to purchase 386,526 and 217,729 shares of common stock for the three months ended June 30, 2023 and 2022, respectively; and 347,470 and 160,142 shares of common stock for the six months ended June 30, 2023 and 2022, respectively. These options were outstanding during the periods reported but were excluded because the effect of including them would have been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Dividends per Share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Dividends declared per common share for the six months ended June 30, 2023 and 2022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9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3"/>
              </w:rPr>
              <w:t>2023</w:t>
            </w: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common share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0.3570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920" w:firstLine="8"/>
        <w:spacing w:after="0" w:line="40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 xml:space="preserve">Equity Method Investments </w:t>
      </w:r>
      <w:r>
        <w:rPr>
          <w:rFonts w:ascii="Arial" w:cs="Arial" w:eastAsia="Arial" w:hAnsi="Arial"/>
          <w:sz w:val="16"/>
          <w:szCs w:val="16"/>
          <w:i w:val="1"/>
          <w:iCs w:val="1"/>
          <w:color w:val="auto"/>
        </w:rPr>
        <w:t>LACC, LLC Joint Venture</w:t>
      </w:r>
    </w:p>
    <w:p>
      <w:pPr>
        <w:spacing w:after="0" w:line="2" w:lineRule="exact"/>
        <w:rPr>
          <w:sz w:val="20"/>
          <w:szCs w:val="20"/>
          <w:color w:val="auto"/>
        </w:rPr>
      </w:pPr>
    </w:p>
    <w:p>
      <w:pPr>
        <w:ind w:right="780" w:firstLine="405"/>
        <w:spacing w:after="0" w:line="284" w:lineRule="auto"/>
        <w:rPr>
          <w:sz w:val="20"/>
          <w:szCs w:val="20"/>
          <w:color w:val="auto"/>
        </w:rPr>
      </w:pPr>
      <w:r>
        <w:rPr>
          <w:rFonts w:ascii="Arial" w:cs="Arial" w:eastAsia="Arial" w:hAnsi="Arial"/>
          <w:sz w:val="17"/>
          <w:szCs w:val="17"/>
          <w:color w:val="auto"/>
        </w:rPr>
        <w:t>As of June 30, 2023, the Company owned an aggregate 50% membership interest in LACC, LLC ("LACC"). The Company accounts for its investment in LACC under the equity method of accounting and the change for the six months ended June 30, 2023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 in LACC</w:t>
            </w:r>
          </w:p>
        </w:tc>
      </w:tr>
      <w:tr>
        <w:trPr>
          <w:trHeight w:val="24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9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04"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Other assets, net were $697 and $569 at June 30, 2023 and December 31, 2022, respectively. Deferred turnaround costs, net of accumulated amortization, included in other assets, net were $446 and $359 at June 30, 2023 and December 31,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Liabilities</w:t>
      </w:r>
    </w:p>
    <w:p>
      <w:pPr>
        <w:spacing w:after="0" w:line="90" w:lineRule="exact"/>
        <w:rPr>
          <w:sz w:val="20"/>
          <w:szCs w:val="20"/>
          <w:color w:val="auto"/>
        </w:rPr>
      </w:pPr>
    </w:p>
    <w:p>
      <w:pPr>
        <w:jc w:val="both"/>
        <w:ind w:right="420" w:firstLine="405"/>
        <w:spacing w:after="0" w:line="301" w:lineRule="auto"/>
        <w:rPr>
          <w:sz w:val="20"/>
          <w:szCs w:val="20"/>
          <w:color w:val="auto"/>
        </w:rPr>
      </w:pPr>
      <w:r>
        <w:rPr>
          <w:rFonts w:ascii="Arial" w:cs="Arial" w:eastAsia="Arial" w:hAnsi="Arial"/>
          <w:sz w:val="16"/>
          <w:szCs w:val="16"/>
          <w:color w:val="auto"/>
        </w:rPr>
        <w:t>Accrued and other liabilities were $1,329 and $1,409 at June 30, 2023 and December 31, 2022, respectively. Accrued rebates, current portion of operating lease liabilities and accrued income taxes, which are components of accrued and other liabilities, were $183, $113 and $172, respectively, at June 30, 2023 and $227, $116 and $169, respectively, at December 31, 2022. No other component of accrued and other liabilities was more than five percent of total current liabilities. Accrued liabilities with related parties were $30 and $44 at June 30, 2023 and December 31,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Transaction and Integration-Related Costs</w:t>
      </w:r>
    </w:p>
    <w:p>
      <w:pPr>
        <w:spacing w:after="0" w:line="90"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restructuring, transaction and integration-related costs of $3 and $7 for the three months ended June 30, 2023 and 2022, and of $6 and $18 for the six months ended June 30, 2023 and 2022, primarily consisted of costs associated with the Company's acquisitions in previous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Capital expenditure related liabilities, included in accounts payable and accrued and other liabilities, were $102 and $167 at June 30, 2023 and June 30,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6"/>
                <w:szCs w:val="16"/>
                <w:color w:val="auto"/>
              </w:rPr>
            </w:pPr>
          </w:p>
        </w:tc>
      </w:tr>
      <w:tr>
        <w:trPr>
          <w:trHeight w:val="25"/>
        </w:trPr>
        <w:tc>
          <w:tcPr>
            <w:tcW w:w="554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1"/>
        </w:trPr>
        <w:tc>
          <w:tcPr>
            <w:tcW w:w="5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5"/>
                <w:szCs w:val="15"/>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272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r>
      <w:tr>
        <w:trPr>
          <w:trHeight w:val="237"/>
        </w:trPr>
        <w:tc>
          <w:tcPr>
            <w:tcW w:w="5540" w:type="dxa"/>
            <w:vAlign w:val="bottom"/>
          </w:tcPr>
          <w:p>
            <w:pPr>
              <w:ind w:left="360"/>
              <w:spacing w:after="0"/>
              <w:rPr>
                <w:sz w:val="20"/>
                <w:szCs w:val="20"/>
                <w:color w:val="auto"/>
              </w:rPr>
            </w:pPr>
            <w:r>
              <w:rPr>
                <w:rFonts w:ascii="Arial" w:cs="Arial" w:eastAsia="Arial" w:hAnsi="Arial"/>
                <w:sz w:val="18"/>
                <w:szCs w:val="18"/>
                <w:color w:val="auto"/>
              </w:rPr>
              <w:t>Interest, net of interest capitalized</w:t>
            </w:r>
          </w:p>
        </w:tc>
        <w:tc>
          <w:tcPr>
            <w:tcW w:w="37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Operating lease information:</w:t>
            </w:r>
          </w:p>
        </w:tc>
        <w:tc>
          <w:tcPr>
            <w:tcW w:w="2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24"/>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Right-of-use assets obtained in exchange for operating lease obligations</w:t>
            </w:r>
          </w:p>
        </w:tc>
        <w:tc>
          <w:tcPr>
            <w:tcW w:w="37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904"/>
        </w:trPr>
        <w:tc>
          <w:tcPr>
            <w:tcW w:w="5540" w:type="dxa"/>
            <w:vAlign w:val="bottom"/>
          </w:tcPr>
          <w:p>
            <w:pPr>
              <w:spacing w:after="0"/>
              <w:rPr>
                <w:sz w:val="24"/>
                <w:szCs w:val="24"/>
                <w:color w:val="auto"/>
              </w:rPr>
            </w:pPr>
          </w:p>
        </w:tc>
        <w:tc>
          <w:tcPr>
            <w:tcW w:w="2720" w:type="dxa"/>
            <w:vAlign w:val="bottom"/>
          </w:tcPr>
          <w:p>
            <w:pPr>
              <w:jc w:val="right"/>
              <w:ind w:right="2450"/>
              <w:spacing w:after="0"/>
              <w:rPr>
                <w:sz w:val="20"/>
                <w:szCs w:val="20"/>
                <w:color w:val="auto"/>
              </w:rPr>
            </w:pPr>
            <w:r>
              <w:rPr>
                <w:rFonts w:ascii="Arial" w:cs="Arial" w:eastAsia="Arial" w:hAnsi="Arial"/>
                <w:sz w:val="18"/>
                <w:szCs w:val="18"/>
                <w:color w:val="auto"/>
                <w:w w:val="79"/>
              </w:rPr>
              <w:t>14</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13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i w:val="1"/>
          <w:iCs w:val="1"/>
          <w:color w:val="auto"/>
        </w:rPr>
        <w:t xml:space="preserve">Caustic Soda Antitrust. </w:t>
      </w:r>
      <w:r>
        <w:rPr>
          <w:rFonts w:ascii="Arial" w:cs="Arial" w:eastAsia="Arial" w:hAnsi="Arial"/>
          <w:sz w:val="17"/>
          <w:szCs w:val="17"/>
          <w:color w:val="auto"/>
        </w:rPr>
        <w:t>The Company and other caustic soda producers were named as defendants in multiple purported class action civil lawsuits</w:t>
      </w:r>
      <w:r>
        <w:rPr>
          <w:rFonts w:ascii="Arial" w:cs="Arial" w:eastAsia="Arial" w:hAnsi="Arial"/>
          <w:sz w:val="17"/>
          <w:szCs w:val="17"/>
          <w:i w:val="1"/>
          <w:iCs w:val="1"/>
          <w:color w:val="auto"/>
        </w:rPr>
        <w:t xml:space="preserve"> </w:t>
      </w:r>
      <w:r>
        <w:rPr>
          <w:rFonts w:ascii="Arial" w:cs="Arial" w:eastAsia="Arial" w:hAnsi="Arial"/>
          <w:sz w:val="17"/>
          <w:szCs w:val="17"/>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The defendants' joint motion to dismiss the direct purchaser lawsuits was denied. The defendants' joint motion to dismiss the indirect purchaser lawsuits was granted in part and denied in part. Both groups of cases have proceeded to discovery. Beginning in October 2020, similar class action proceedings were also filed in Canada before the Superior Court of Quebec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On December 10, 2021, the Superior Court of Quebec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166"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Ethylene Antitrust</w:t>
      </w:r>
      <w:r>
        <w:rPr>
          <w:rFonts w:ascii="Arial" w:cs="Arial" w:eastAsia="Arial" w:hAnsi="Arial"/>
          <w:sz w:val="16"/>
          <w:szCs w:val="16"/>
          <w:color w:val="auto"/>
        </w:rPr>
        <w:t>. The Company and other ethylene consumers were named as defendants in a civil lawsuit filed by Shell Chemical Europe B.V.</w:t>
      </w:r>
      <w:r>
        <w:rPr>
          <w:rFonts w:ascii="Arial" w:cs="Arial" w:eastAsia="Arial" w:hAnsi="Arial"/>
          <w:sz w:val="16"/>
          <w:szCs w:val="16"/>
          <w:i w:val="1"/>
          <w:iCs w:val="1"/>
          <w:color w:val="auto"/>
        </w:rPr>
        <w:t xml:space="preserve"> </w:t>
      </w:r>
      <w:r>
        <w:rPr>
          <w:rFonts w:ascii="Arial" w:cs="Arial" w:eastAsia="Arial" w:hAnsi="Arial"/>
          <w:sz w:val="16"/>
          <w:szCs w:val="16"/>
          <w:color w:val="auto"/>
        </w:rPr>
        <w:t>("SCE") in March 2023 in the District Court of Amsterdam, the Netherlands. SCE is a producer of ethylene in the European market and the lawsuit alleges the defendants conspired to lower the purchase price for ethylene and ethylene derivatives by manipulating the monthly contract price. SCE is seeking a declaratory judgment establishing that the Company and the co-defendants are jointly and severally liable for alleged damages resulting from artificially lowered prices for ethylene and ethylene derivatives during the specified period. At this time, the Company is not able to estimate the impact, if any, that this lawsuit could have on the Company's consolidated financial statements either in the current period or in future periods.</w:t>
      </w:r>
    </w:p>
    <w:p>
      <w:pPr>
        <w:spacing w:after="0" w:line="10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i w:val="1"/>
          <w:iCs w:val="1"/>
          <w:color w:val="auto"/>
        </w:rPr>
        <w:t xml:space="preserve">Environmental. </w:t>
      </w:r>
      <w:r>
        <w:rPr>
          <w:rFonts w:ascii="Arial" w:cs="Arial" w:eastAsia="Arial" w:hAnsi="Arial"/>
          <w:sz w:val="17"/>
          <w:szCs w:val="17"/>
          <w:color w:val="auto"/>
        </w:rPr>
        <w:t>As of June 30, 2023 and December 31, 2022, the Company had reserves for environmental contingencies totaling approximately $53</w:t>
      </w:r>
      <w:r>
        <w:rPr>
          <w:rFonts w:ascii="Arial" w:cs="Arial" w:eastAsia="Arial" w:hAnsi="Arial"/>
          <w:sz w:val="17"/>
          <w:szCs w:val="17"/>
          <w:i w:val="1"/>
          <w:iCs w:val="1"/>
          <w:color w:val="auto"/>
        </w:rPr>
        <w:t xml:space="preserve"> </w:t>
      </w:r>
      <w:r>
        <w:rPr>
          <w:rFonts w:ascii="Arial" w:cs="Arial" w:eastAsia="Arial" w:hAnsi="Arial"/>
          <w:sz w:val="17"/>
          <w:szCs w:val="17"/>
          <w:color w:val="auto"/>
        </w:rPr>
        <w:t>and $55,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7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Calvert City Proceedings. </w:t>
      </w:r>
      <w:r>
        <w:rPr>
          <w:rFonts w:ascii="Arial" w:cs="Arial" w:eastAsia="Arial" w:hAnsi="Arial"/>
          <w:sz w:val="16"/>
          <w:szCs w:val="16"/>
          <w:color w:val="auto"/>
        </w:rPr>
        <w:t>For several years, the Environmental Protection Agency (the "EPA") has been conducting remedial investigation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Avient Corporation (formerly known as PolyOne Corporation, "Avient"). On November 30, 2017, the EPA published a draft Proposed Plan, incorporating by reference an August 2015 draft Remedial Investigation ("RI") report, an October 2017 draft Feasibility Study ("FS") report and a Technical Impracticability Waiver document dated December 19, 2017. On June 18, 2018, the EPA published an amendment to its Proposed Plan. The amended Proposed Plan describes a final remedy for the onshore portion of the site comprised of a containment wall, targeted treatment and supplemental hydraulic containment. The amended Proposed Plan also describes an interim approach to address the contamination under the river that would include recovery of any mobile contaminants by an extraction well along with further study of the extent of the contamination and potential treatment options. The EPA's estimated cost of implementation is $107, with an estimated $1 to $3 in annual operation and maintenance ("O&amp;M") costs. In September 2018, the EPA published the Record of Decision ("ROD") for the site, formally selecting the preferred final and interim remedies outlined in the amended Proposed Plan. In October 2018, the EPA issued Special Notice letters to the PRPs for the remedial design phase of work under the ROD. In April 2019, the PRPs and the EPA entered into an administrative settlement agreement and order on consent for remedial design. In October 2019, the PRPs received special notice letters for the remedial action phase of work at the site. The Company, jointly with the other PRPs, submitted a good faith offer response in December 2019.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Company's allocation of liability for remedial and O&amp;M costs at the Calvert City site, if any, is governed by a series of agreements between the Company, Goodrich and Avient. These agreements and the associated litigation are described below.</w:t>
      </w:r>
    </w:p>
    <w:p>
      <w:pPr>
        <w:spacing w:after="0" w:line="115"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connection with the 1990 and 1997 acquisitions of the Goodrich chemical manufacturing complex in Calvert City, Goodrich agreed to indemnify the Company for any liabilities related to preexisting contamination at the complex. For its part, the Company agreed to indemnify Goodrich for post-closing contamination caused by the Company's operations. The soil and groundwater at the complex, which does not include the Company's nearby PVC facility, had been extensively contaminated by Goodrich's operations. In 1993, Goodrich spun off the predecessor of Avient, and that predecessor assumed Goodrich's indemnification obligations relating to preexisting contamination. In 2003, litigation arose among the Company, Goodrich and Avient with respect to the allocation of the cost of remediating contamination at the site. The parties settled this litigation in December 2007 and the case was dismissed. In the settlement, the parties agreed that, among other things: (1) Avient would pay 100% of the costs (with specified exceptions), net of recoveries or credits from third parties, incurred with respect to environmental issues at the Calvert City site from August 1, 2007 forward; and (2) either the Company or Avient might, from time to time in the future (but not more than once every five years), institute an arbitration proceeding to adjust that percentage. In May 2017, Avient filed a demand for arbitration. In this proceeding, Avient sought to readjust the percentage allocation of future costs and to recover approximately $11 from the Company in reimbursement of previously paid remediation costs. The Company's cross demand for arbitration seeking unreimbursed remediation costs incurred during the relevant period was dismissed from the proceedings when Avient paid such costs in full at the beginning of the arbitration hearing.</w:t>
      </w:r>
    </w:p>
    <w:p>
      <w:pPr>
        <w:spacing w:after="0" w:line="13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July 10, 2018, Avient sued the Company in the U.S. District Court for the Western District of Kentucky and sought to invalidate the arbitration provisions in the parties' 2007 settlement agreement and enjoin the arbitration it had initiated in 2017. On July 30, 2018, the district court refused to enjoin the arbitration and, on January 15, 2019, the court granted the Company's motion to dismiss Avient's suit. On February 13, 2019, Avient appealed those decisions to the U.S. Court of Appeals for the Sixth Circuit. The court of appeals issued an opinion and final order on September 6, 2019, affirming the district court.</w:t>
      </w:r>
    </w:p>
    <w:p>
      <w:pPr>
        <w:spacing w:after="0" w:line="13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arbitration hearing began in August 2018 and concluded in December 2018. On May 22, 2019, the arbitration panel issued its final award. It determined that Avient was responsible for 100% of the allocable costs at issue in the proceeding and that Avient would remain responsible for 100% of the costs to operate the existing groundwater remedy at the Calvert City site. In August 2019, Avient filed a motion to vacate before the U.S. District Court for the Western District of Kentucky, seeking to invalidate the final award under the Federal Arbitration Act. On February 11, 2020, the U.S. District Court for the Western District of Kentucky denied Avient's motion to vacate and affirmed the arbitration final award. Avient did not file a notice of appeal before the March 10, 2020 deadline to contest the court's decision. Accordingly, the final award was affirmed, and the arbitration proceeding is fully and finally resolved.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March 2022, the Company filed a demand for arbitration seeking reimbursement for certain allocable costs incurred during the applicable period since May 2017, and which Avient has failed to pay or disputed as not subject to indemnity under the 1990 and 1997 agreements. In April 2022, Avient filed a complaint in the federal district court for the Western District of Kentucky disputing the enforceability of the 2007 settlement agreement and seeking to enjoin arbitration. Avient claims that the allocable costs at issue are up to $22, for which Avient claims the Company is totally liable. The Company disputes these claims and at this time, the Company believes it is unlikely that any remediation costs allocable to it would result in material expenditures in any individual reporting period.</w:t>
      </w:r>
    </w:p>
    <w:p>
      <w:pPr>
        <w:spacing w:after="0" w:line="138"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i w:val="1"/>
          <w:iCs w:val="1"/>
          <w:color w:val="auto"/>
        </w:rPr>
        <w:t xml:space="preserve">Triad Hunter. </w:t>
      </w:r>
      <w:r>
        <w:rPr>
          <w:rFonts w:ascii="Arial" w:cs="Arial" w:eastAsia="Arial" w:hAnsi="Arial"/>
          <w:sz w:val="16"/>
          <w:szCs w:val="16"/>
          <w:color w:val="auto"/>
        </w:rPr>
        <w:t>In April 2018, Triad Hunter, LLC ("Triad Hunter") filed suit against the Company and certain of its subsidiaries in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Pleas in Monroe County, Ohio seeking injunctive relief and alleging negligence and trespass at the Natrium Plant with respect to Triad Hunter's well drilling activities in Ohio. The case was initially dismissed. Triad Hunter appealed the dismissal, and in March 2019, the Court of Appeals in the Seventh Appellate District in Monroe County, Ohio reversed the dismissal. Trial began in October 2022. On October 27, 2022, the jury returned a verdict finding that the Company had committed trespass and was negligent in conducting salt mining operations at the Natrium Plant and awarded damages of approximately $70. No final judgment has yet been entered. The final judgment could include pre-judgment interest, post-judgment interest, and attorneys' fees. If the final judgment required the Company to pay any amount of damages, the Company intends to appeal that decision to the Court of Appeals. Upon receipt of the jury verdict, the Company reserved approximately $70, for the damages awarded to Triad Hunter.</w:t>
      </w:r>
    </w:p>
    <w:p>
      <w:pPr>
        <w:spacing w:after="0" w:line="11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i w:val="1"/>
          <w:iCs w:val="1"/>
          <w:color w:val="auto"/>
        </w:rPr>
        <w:t>Environmental Remediation: Reasonably Possible Matters</w:t>
      </w:r>
      <w:r>
        <w:rPr>
          <w:rFonts w:ascii="Arial" w:cs="Arial" w:eastAsia="Arial" w:hAnsi="Arial"/>
          <w:sz w:val="17"/>
          <w:szCs w:val="17"/>
          <w:color w:val="auto"/>
        </w:rPr>
        <w:t>. The Company's assessment of the potential impact of environmental contingencies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the Company may be subject to reasonably possible loss contingencies related to environmental matters in the range of $75 to $135.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94"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Company operates in two principal operating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external sales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Materials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1,140</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r>
      <w:tr>
        <w:trPr>
          <w:trHeight w:val="223"/>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3,104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Housing Products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r>
      <w:tr>
        <w:trPr>
          <w:trHeight w:val="230"/>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5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30"/>
        </w:trPr>
        <w:tc>
          <w:tcPr>
            <w:tcW w:w="5200" w:type="dxa"/>
            <w:vAlign w:val="bottom"/>
          </w:tcPr>
          <w:p>
            <w:pPr>
              <w:spacing w:after="0"/>
              <w:rPr>
                <w:sz w:val="20"/>
                <w:szCs w:val="20"/>
                <w:color w:val="auto"/>
              </w:rPr>
            </w:pP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3,251</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4,483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8,539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Intersegment sales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(benefit from)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5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 and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total segment income from operations to consolidated income before income taxes is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18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3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r>
      <w:tr>
        <w:trPr>
          <w:trHeight w:val="21"/>
        </w:trPr>
        <w:tc>
          <w:tcPr>
            <w:tcW w:w="5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ind w:left="8580"/>
        <w:spacing w:after="0"/>
        <w:rPr>
          <w:sz w:val="20"/>
          <w:szCs w:val="20"/>
          <w:color w:val="auto"/>
        </w:rPr>
      </w:pPr>
      <w:r>
        <w:rPr>
          <w:rFonts w:ascii="Arial" w:cs="Arial" w:eastAsia="Arial" w:hAnsi="Arial"/>
          <w:sz w:val="12"/>
          <w:szCs w:val="12"/>
          <w:b w:val="1"/>
          <w:bCs w:val="1"/>
          <w:color w:val="auto"/>
        </w:rPr>
        <w:t>June 30,</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0" w:lineRule="exact"/>
        <w:rPr>
          <w:sz w:val="20"/>
          <w:szCs w:val="20"/>
          <w:color w:val="auto"/>
        </w:rPr>
      </w:pPr>
    </w:p>
    <w:p>
      <w:pPr>
        <w:sectPr>
          <w:pgSz w:w="11900" w:h="16838" w:orient="portrait"/>
          <w:cols w:equalWidth="0" w:num="2">
            <w:col w:w="9380" w:space="720"/>
            <w:col w:w="11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13,856</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13,978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Housing and Infrastructure Products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50"/>
        </w:trPr>
        <w:tc>
          <w:tcPr>
            <w:tcW w:w="8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Westlake Chemical Partners LP</w:t>
      </w:r>
    </w:p>
    <w:p>
      <w:pPr>
        <w:spacing w:after="0" w:line="10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16"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As of June 30, 2023,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1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June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2022 (the "2022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("PVC") into our building products, PVC pipes and fittings and PVC compounds in our Housing and Infrastructure Products segment.</w:t>
      </w:r>
    </w:p>
    <w:p>
      <w:pPr>
        <w:spacing w:after="0" w:line="124" w:lineRule="exact"/>
        <w:rPr>
          <w:sz w:val="20"/>
          <w:szCs w:val="20"/>
          <w:color w:val="auto"/>
        </w:rPr>
      </w:pPr>
    </w:p>
    <w:p>
      <w:pPr>
        <w:jc w:val="both"/>
        <w:ind w:right="80" w:firstLine="405"/>
        <w:spacing w:after="0" w:line="255" w:lineRule="auto"/>
        <w:rPr>
          <w:sz w:val="20"/>
          <w:szCs w:val="20"/>
          <w:color w:val="auto"/>
        </w:rPr>
      </w:pPr>
      <w:r>
        <w:rPr>
          <w:rFonts w:ascii="Arial" w:cs="Arial" w:eastAsia="Arial" w:hAnsi="Arial"/>
          <w:sz w:val="18"/>
          <w:szCs w:val="18"/>
          <w:color w:val="auto"/>
        </w:rPr>
        <w:t>During 2022 and continuing through the second quarter of 2023, our European businesses have been impacted by higher energy prices, inflation and reduced demand. Our North American businesses, where we derive a significant portion of our revenue, have also experienced the impacts of high energy costs and interest rates and slower demand for most of our products since the second half of 2022. However, in recent months we have experienced lower energy costs as prices for electricity and natural gas have declined following the elevated 2022 levels and inflation appears to be easing. In the near term, we expect that volatility in energy prices, higher interest rates, inflation and other macroeconomic conditions will continue to reduce margins and demand for most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w:t>
      </w:r>
    </w:p>
    <w:p>
      <w:pPr>
        <w:spacing w:after="0" w:line="10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performance and essential materials such as ethylene, PVC, polyethylene, epoxy and chlor-alkali are some of the most widely used materials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food and specialty packaging; industrial and consumer packaging; medical health applications; PVC pipe applications; consumer durables; mobility and transportation; renewable wind energy; coatings; and housing and construction products.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 We are also a leading supplier of Liquid and Solid Epoxy Resin. These base epoxies are used in a wide variety of industrial coatings applications.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Global demand for most of our products started to recover from the effects of the COVID-19 pandemic in the second half of 2020 and remained strong through the first half of 2022. However, since the second half of 2022 and continuing so far in 2023, we have seen significant volatility in natural gas and electricity prices, particularly in Europe, as well as in ethane and ethylene prices. We have also experienced lower prices and reduced demand for most of our products globally. The ongoing conflict between Russia and Ukraine, the timing of certain new ethylene and polyethylene capacity additions in North America, Asia, and the Middle East, volatility in natural gas and electricity prices, volatility in crude oil prices, as well as inflationary pressures and concerns of a possible recession in the near-term could have a continuing negative impact on the performance of Performance and Essential Materials businesses.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As noted in Item 1A, "Risk Factors" in our 2022 Form 10-K, we are subject to extensive environmental regulations, which may impose significant additional costs on our operations in the future. Further, concerns about greenhouse gas ("GHG") emissions and their effects on climate change has led to the enactment of regulations, and to proposed legislation and additional regulations, that could affect us in the form of increased cost of feedstocks and fuel, other increased costs of production and decreased demand for our products. The adoption and implementation of any international, federal or state legislation or regulations that restrict emissions of GHGs could result in increased compliance costs or additional operating restrictions.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w:t>
      </w:r>
    </w:p>
    <w:p>
      <w:pPr>
        <w:spacing w:after="0" w:line="9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Housing and Infrastructure Products segment is primarily comprised of building products, PVC pipes and fittings and PVC compound products. Our sales are affected by the individual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due to the negative effect that rising mortgage rates in the United States had on buyer sentiment. Performance of our housing and infrastructure products businesses over time are generally reflective of the trends of building permits and housing starts in the New Residential Construction Survey by the U.S. Census Bureau and the Repair and Remodeling Index provided by the National Association of Home Builders, among others. Although we ultimately expect that the Infrastructure Investment and Jobs Act of 2021 and historically low residential housing construction may have a favorable long-term impact on certain industries related to our Housing and Infrastructure Products segment, the current inflationary environment impacting consumer spending and priorities, concerns of a possible recession in the near-term, high interest rates, decade high mortgage interest rates impacting consumer affordability are expected to continue to have an unfavorable impact on the demand for housing construction and, as a result, our products produced by this segment.</w:t>
      </w:r>
    </w:p>
    <w:p>
      <w:pPr>
        <w:spacing w:after="0" w:line="125"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Factors that have caused volatility in our raw material prices, energy costs and production processes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tariffs,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3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EBITDA and Free Cash Flow are not substitutes for the GAAP measures of net income, income from operations or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 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1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External Sales</w:t>
      </w:r>
    </w:p>
    <w:p>
      <w:pPr>
        <w:spacing w:after="0" w:line="104" w:lineRule="exact"/>
        <w:rPr>
          <w:sz w:val="20"/>
          <w:szCs w:val="20"/>
          <w:color w:val="auto"/>
        </w:rPr>
      </w:pPr>
    </w:p>
    <w:p>
      <w:pPr>
        <w:jc w:val="both"/>
        <w:ind w:right="220" w:firstLine="405"/>
        <w:spacing w:after="0" w:line="257" w:lineRule="auto"/>
        <w:rPr>
          <w:sz w:val="20"/>
          <w:szCs w:val="20"/>
          <w:color w:val="auto"/>
        </w:rPr>
      </w:pPr>
      <w:r>
        <w:rPr>
          <w:rFonts w:ascii="Arial" w:cs="Arial" w:eastAsia="Arial" w:hAnsi="Arial"/>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styrene, and related derivative materials. Housing Products net external sales primarily consist of sales of housing exterior and interior products, residential pipes and fittings and residential PVC compounds. Infrastructure Products net external sales primarily consist of sales of non-residential pipes and fittings and non-residential PVC compounds.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external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Materials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Essential Materials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Performance and Essential Materials</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Housing Products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Infrastructure Products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Housing and Infrastructure Products</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and Essential Materials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Housing and Infrastructure Products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Total income from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Net income attributable to Westlake Corporation</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(2)</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jc w:val="right"/>
              <w:ind w:right="3950"/>
              <w:spacing w:after="0"/>
              <w:rPr>
                <w:sz w:val="20"/>
                <w:szCs w:val="20"/>
                <w:color w:val="auto"/>
              </w:rPr>
            </w:pPr>
            <w:r>
              <w:rPr>
                <w:rFonts w:ascii="Arial" w:cs="Arial" w:eastAsia="Arial" w:hAnsi="Arial"/>
                <w:sz w:val="18"/>
                <w:szCs w:val="18"/>
                <w:color w:val="auto"/>
                <w:w w:val="89"/>
              </w:rPr>
              <w:t>_____________</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2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4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above for discussions on non-GAAP financial measures. See "Reconciliation of EBITDA to Net Income, Income from Operations and Net Cash Provided by Operating Activities" below.</w:t>
      </w:r>
    </w:p>
    <w:p>
      <w:pPr>
        <w:spacing w:after="0" w:line="8"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hanging="242"/>
        <w:spacing w:after="0" w:line="237" w:lineRule="auto"/>
        <w:rPr>
          <w:sz w:val="20"/>
          <w:szCs w:val="20"/>
          <w:color w:val="auto"/>
        </w:rPr>
      </w:pPr>
      <w:r>
        <w:rPr>
          <w:rFonts w:ascii="Arial" w:cs="Arial" w:eastAsia="Arial" w:hAnsi="Arial"/>
          <w:sz w:val="18"/>
          <w:szCs w:val="18"/>
          <w:b w:val="1"/>
          <w:bCs w:val="1"/>
          <w:color w:val="auto"/>
        </w:rPr>
        <w:t>Net sales percentage change from prior-year period due to average sales price and volume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Performance and Essential Materials</w:t>
      </w:r>
    </w:p>
    <w:p>
      <w:pPr>
        <w:spacing w:after="0" w:line="35" w:lineRule="exact"/>
        <w:rPr>
          <w:sz w:val="20"/>
          <w:szCs w:val="20"/>
          <w:color w:val="auto"/>
        </w:rPr>
      </w:pPr>
    </w:p>
    <w:p>
      <w:pPr>
        <w:ind w:left="40" w:right="1860"/>
        <w:spacing w:after="0" w:line="293" w:lineRule="auto"/>
        <w:rPr>
          <w:sz w:val="20"/>
          <w:szCs w:val="20"/>
          <w:color w:val="auto"/>
        </w:rPr>
      </w:pPr>
      <w:r>
        <w:rPr>
          <w:rFonts w:ascii="Arial" w:cs="Arial" w:eastAsia="Arial" w:hAnsi="Arial"/>
          <w:sz w:val="18"/>
          <w:szCs w:val="18"/>
          <w:color w:val="auto"/>
        </w:rPr>
        <w:t>Housing and Infrastructure Products Company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00" w:type="dxa"/>
            <w:vAlign w:val="bottom"/>
            <w:gridSpan w:val="3"/>
          </w:tcPr>
          <w:p>
            <w:pPr>
              <w:ind w:left="460"/>
              <w:spacing w:after="0"/>
              <w:rPr>
                <w:sz w:val="20"/>
                <w:szCs w:val="20"/>
                <w:color w:val="auto"/>
              </w:rPr>
            </w:pPr>
            <w:r>
              <w:rPr>
                <w:rFonts w:ascii="Arial" w:cs="Arial" w:eastAsia="Arial" w:hAnsi="Arial"/>
                <w:sz w:val="14"/>
                <w:szCs w:val="14"/>
                <w:b w:val="1"/>
                <w:bCs w:val="1"/>
                <w:color w:val="auto"/>
              </w:rPr>
              <w:t>Three Months Ended June 30, 2023</w:t>
            </w:r>
          </w:p>
        </w:tc>
        <w:tc>
          <w:tcPr>
            <w:tcW w:w="120" w:type="dxa"/>
            <w:vAlign w:val="bottom"/>
          </w:tcPr>
          <w:p>
            <w:pPr>
              <w:spacing w:after="0"/>
              <w:rPr>
                <w:sz w:val="16"/>
                <w:szCs w:val="16"/>
                <w:color w:val="auto"/>
              </w:rPr>
            </w:pPr>
          </w:p>
        </w:tc>
        <w:tc>
          <w:tcPr>
            <w:tcW w:w="3080" w:type="dxa"/>
            <w:vAlign w:val="bottom"/>
            <w:gridSpan w:val="3"/>
          </w:tcPr>
          <w:p>
            <w:pPr>
              <w:ind w:left="540"/>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26"/>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Sales Price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Sales Price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0</wp:posOffset>
            </wp:positionV>
            <wp:extent cx="711517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384"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4"/>
              </w:rPr>
              <w:t>-21 %</w:t>
            </w:r>
          </w:p>
        </w:tc>
        <w:tc>
          <w:tcPr>
            <w:tcW w:w="1100" w:type="dxa"/>
            <w:vAlign w:val="bottom"/>
          </w:tcPr>
          <w:p>
            <w:pPr>
              <w:jc w:val="right"/>
              <w:spacing w:after="0"/>
              <w:rPr>
                <w:sz w:val="20"/>
                <w:szCs w:val="20"/>
                <w:color w:val="auto"/>
              </w:rPr>
            </w:pPr>
            <w:r>
              <w:rPr>
                <w:rFonts w:ascii="Arial" w:cs="Arial" w:eastAsia="Arial" w:hAnsi="Arial"/>
                <w:sz w:val="18"/>
                <w:szCs w:val="18"/>
                <w:color w:val="auto"/>
              </w:rPr>
              <w:t>-10 %</w:t>
            </w:r>
          </w:p>
        </w:tc>
        <w:tc>
          <w:tcPr>
            <w:tcW w:w="1600" w:type="dxa"/>
            <w:vAlign w:val="bottom"/>
          </w:tcPr>
          <w:p>
            <w:pPr>
              <w:jc w:val="right"/>
              <w:spacing w:after="0"/>
              <w:rPr>
                <w:sz w:val="20"/>
                <w:szCs w:val="20"/>
                <w:color w:val="auto"/>
              </w:rPr>
            </w:pPr>
            <w:r>
              <w:rPr>
                <w:rFonts w:ascii="Arial" w:cs="Arial" w:eastAsia="Arial" w:hAnsi="Arial"/>
                <w:sz w:val="18"/>
                <w:szCs w:val="18"/>
                <w:color w:val="auto"/>
              </w:rPr>
              <w:t>-17 %</w:t>
            </w:r>
          </w:p>
        </w:tc>
        <w:tc>
          <w:tcPr>
            <w:tcW w:w="15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-1 %</w:t>
            </w: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15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57"/>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4"/>
              </w:rPr>
              <w:t>-15 %</w:t>
            </w: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c>
          <w:tcPr>
            <w:tcW w:w="15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598"/>
        </w:trPr>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Three Months Ended</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w:t>
            </w:r>
          </w:p>
        </w:tc>
      </w:tr>
      <w:tr>
        <w:trPr>
          <w:trHeight w:val="186"/>
        </w:trPr>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 2023</w:t>
            </w:r>
          </w:p>
        </w:tc>
        <w:tc>
          <w:tcPr>
            <w:tcW w:w="1540" w:type="dxa"/>
            <w:vAlign w:val="bottom"/>
          </w:tcPr>
          <w:p>
            <w:pPr>
              <w:jc w:val="right"/>
              <w:ind w:right="417"/>
              <w:spacing w:after="0"/>
              <w:rPr>
                <w:sz w:val="20"/>
                <w:szCs w:val="20"/>
                <w:color w:val="auto"/>
              </w:rPr>
            </w:pPr>
            <w:r>
              <w:rPr>
                <w:rFonts w:ascii="Arial" w:cs="Arial" w:eastAsia="Arial" w:hAnsi="Arial"/>
                <w:sz w:val="14"/>
                <w:szCs w:val="14"/>
                <w:b w:val="1"/>
                <w:bCs w:val="1"/>
                <w:color w:val="auto"/>
              </w:rPr>
              <w:t>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-805815</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00" w:space="420"/>
            <w:col w:w="632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5"/>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Domestic US prices percentage change from prior-year period for fuel cost and feedstock</w:t>
            </w:r>
          </w:p>
        </w:tc>
        <w:tc>
          <w:tcPr>
            <w:tcW w:w="15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Fuel cost (Natural Gas)</w:t>
            </w:r>
          </w:p>
        </w:tc>
        <w:tc>
          <w:tcPr>
            <w:tcW w:w="1540" w:type="dxa"/>
            <w:vAlign w:val="bottom"/>
          </w:tcPr>
          <w:p>
            <w:pPr>
              <w:jc w:val="right"/>
              <w:spacing w:after="0"/>
              <w:rPr>
                <w:sz w:val="20"/>
                <w:szCs w:val="20"/>
                <w:color w:val="auto"/>
              </w:rPr>
            </w:pPr>
            <w:r>
              <w:rPr>
                <w:rFonts w:ascii="Arial" w:cs="Arial" w:eastAsia="Arial" w:hAnsi="Arial"/>
                <w:sz w:val="18"/>
                <w:szCs w:val="18"/>
                <w:color w:val="auto"/>
              </w:rPr>
              <w:t>-71 %</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(Ethane)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to Net Income, Income from Operations and Net Cash Provided by Operating Activities</w:t>
      </w:r>
    </w:p>
    <w:p>
      <w:pPr>
        <w:spacing w:after="0" w:line="10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17"/>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7"/>
        </w:trPr>
        <w:tc>
          <w:tcPr>
            <w:tcW w:w="52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1,175</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Add:</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Free Cash Flow to Net Cash Provided by Operating Activities</w:t>
      </w:r>
    </w:p>
    <w:p>
      <w:pPr>
        <w:spacing w:after="0" w:line="10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presents the reconciliation of Free Cash Flow to net cash provided by operating activities, the most directly comparable GAAP financial measure,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(dollars in millions)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0" w:type="dxa"/>
            <w:vAlign w:val="bottom"/>
          </w:tcPr>
          <w:p>
            <w:pPr>
              <w:spacing w:after="0"/>
              <w:rPr>
                <w:sz w:val="21"/>
                <w:szCs w:val="21"/>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555</w:t>
            </w:r>
          </w:p>
        </w:tc>
        <w:tc>
          <w:tcPr>
            <w:tcW w:w="9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6"/>
              </w:rPr>
              <w:t>913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5"/>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315</w:t>
            </w:r>
          </w:p>
        </w:tc>
        <w:tc>
          <w:tcPr>
            <w:tcW w:w="9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35"/>
              <w:spacing w:after="0"/>
              <w:rPr>
                <w:sz w:val="20"/>
                <w:szCs w:val="20"/>
                <w:color w:val="auto"/>
              </w:rPr>
            </w:pPr>
            <w:r>
              <w:rPr>
                <w:rFonts w:ascii="Arial" w:cs="Arial" w:eastAsia="Arial" w:hAnsi="Arial"/>
                <w:sz w:val="18"/>
                <w:szCs w:val="18"/>
                <w:color w:val="auto"/>
                <w:w w:val="86"/>
              </w:rPr>
              <w:t>683</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20"/>
                <w:szCs w:val="20"/>
                <w:color w:val="auto"/>
              </w:rPr>
            </w:pPr>
          </w:p>
        </w:tc>
      </w:tr>
      <w:tr>
        <w:trPr>
          <w:trHeight w:val="21"/>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tcPr>
          <w:p>
            <w:pPr>
              <w:jc w:val="right"/>
              <w:ind w:right="337"/>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For the quarter ended June 30, 2023, net income attributable to Westlake was $297 million, or $2.31 per diluted share, on net sales of $3,251 million. This represents a decrease in net income attributable to Westlake of $561 million, or $4.29 per diluted share, compared to the quarter ended June 30, 2022 net income attributable to Westlake of $858 million, or $6.60 per diluted share, on net sales of $4,483 million. Income from operations for the quarter ended June 30, 2023 was $396 million, a $779 million decrease from income from operations of $1,175 million for the quarter ended June 30, 2022. The decrease in net income and income from operations was primarily due to lower sales prices and volumes for most of our products resulting from weaker global demand and lower plant operating rates due to planned and unplanned outages. The decreases in net income and income from operations in the second quarter of 2023 were partially offset by higher caustic soda sales prices resulting from the continuing strong global markets for chlor-alkali products as well as lower natural gas and feedstock costs. Net sales decreased by $1,232 million to $3,251 million in the quarter ended June 30, 2023 from $4,483 million in the quarter ended June 30, 2022, primarily due to lower sales prices and volumes for most of our products, partially offset by higher sales prices for caustic soda and chlorine.</w:t>
      </w:r>
    </w:p>
    <w:p>
      <w:pPr>
        <w:spacing w:after="0" w:line="13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For the six months ended June 30, 2023, net income attributable to Westlake was $691 million, or $5.35 per diluted share, on net sales of $6,607 million. This represents a decrease in net income attributable to Westlake of $923 million, or $7.08 per diluted share, compared to the six months ended June 30, 2022 net income attributable to Westlake of $1,614 million, or $12.43 per diluted share, on net sales of $8,539 million. Income from operations for the six months ended June 30, 2023 was $932 million, a $1,275 million decrease from income from operations of $2,207 million for the six months ended June 30, 2022. The decrease in net income and income from operations was primarily due to lower sales prices and volumes for most of our products resulting from weaker global demand and planned and unplanned outages. The decreases in net income and income from operations in the six months ended June 30, 2023 were partially offset by higher caustic soda and chlorine sales prices and lower natural gas and feedstock costs. Net sales decreased by $1,932 million to $6,607 million in the six months ended June 30, 2023 from $8,539 million in the six months ended June 30, 2022, primarily due to lower sales prices and volumes for most of our products, partially offset by higher sales prices for caustic soda and chlorine.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with Second Quarter 2022</w:t>
      </w:r>
    </w:p>
    <w:p>
      <w:pPr>
        <w:spacing w:after="0" w:line="9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decreased by $1,232 million, or 27%, to $3,251 million in the second quarter of 2023 from $4,483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2022, primarily due to lower sales prices and volumes for most of our products, partially offset by higher caustic soda and chlorine sales prices. Average sales prices for the second quarter of 2023 decreased by 15% as compared to the second quarter of 2022 due to continuing weaker demand for most of our products, partially offset by the higher sales prices for caustic soda and chlorine. Sales volumes decreased by 13% in the second quarter of 2023 as compared to the second quarter of 2022, substantially due to weaker global demand for most of our products across both the segments.</w:t>
      </w:r>
    </w:p>
    <w:p>
      <w:pPr>
        <w:spacing w:after="0" w:line="107"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margin percentage was 20% in the second quarter of 2023 as compared to 32% in the second quarter of 2022.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gross profit margin was primarily due to lower prices and margins for most of our products, which was partially offset by higher prices for caustic soda as well as lower natural gas and feedstock costs.</w:t>
      </w:r>
    </w:p>
    <w:p>
      <w:pPr>
        <w:spacing w:after="0" w:line="130"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by $7 million to $213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2023 as compared to $220 million in the second quarter of 2022. This decrease was mainly due to lower selling expenses associated with the decline in net sales, partially offset by higher compensation expenses.</w:t>
      </w:r>
    </w:p>
    <w:p>
      <w:pPr>
        <w:spacing w:after="0" w:line="13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expense decreased by $13 million to $30 million in the second quarter of 2023, from $43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2022, primarily due to the end of useful lives of certain intangible assets within the Housing and Infrastructure Products segment during the third quarter of 2022.</w:t>
      </w:r>
    </w:p>
    <w:p>
      <w:pPr>
        <w:spacing w:after="0" w:line="130"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i w:val="1"/>
          <w:iCs w:val="1"/>
          <w:color w:val="auto"/>
        </w:rPr>
        <w:t>Restructuring, Transaction and Integration-Related Costs</w:t>
      </w:r>
      <w:r>
        <w:rPr>
          <w:rFonts w:ascii="Arial" w:cs="Arial" w:eastAsia="Arial" w:hAnsi="Arial"/>
          <w:sz w:val="18"/>
          <w:szCs w:val="18"/>
          <w:color w:val="auto"/>
        </w:rPr>
        <w:t>. Restructuring, transaction and integration-related costs decreased by $4 million to $3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second quarter of 2023, from $7 million in the second quarter of 2022, primarily due to decreased integration activities related to the businesses acquired in previous years.</w:t>
      </w:r>
    </w:p>
    <w:p>
      <w:pPr>
        <w:spacing w:after="0" w:line="13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$2 million to $42 million in the second quarter of 2023 from $44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the repayment of $269 million of debt during 2022.</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increased by $6 million to $23 million in the second quarter of 2023 from $17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substantially due to higher interest income attributable to higher interest rates in the current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18.6% for the second quarter of 2023 as compared to 23.9% for the second quarter of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in the second quarter of 2023 was lower compared to the second quarter of 2022 primarily due to an increase in U.S. federal research and development credits available to the Company, the reduction of reserves for uncertain income tax positions as a result of a closed federal income tax audit and a decrease in state and foreign taxes.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 Segment</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the Performance and Essential Materials segment decreased by $968 million, or 31%, to $2,136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2023 from $3,104 million in the second quarter of 2022. Average sales prices for the Performance and Essential Materials segment decreased by 21% in the second quarter of 2023 as compared to the second quarter of 2022. Lower Performance Materials sales prices were primarily due to lower PVC resin, polyethylene and epoxy sales prices. These decreases were partially offset by higher caustic soda and chlorine sales prices in the Essential Materials businesses. Sales volumes for the Performance and Essential Materials segment decreased by 10% in the second quarter of 2023 as compared to the second quarter of 2022, primarily resulting from lower global demand for materials produced by the businesses in this segment.</w:t>
      </w:r>
    </w:p>
    <w:p>
      <w:pPr>
        <w:spacing w:after="0" w:line="110"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Income from operations for the Performance and Essential Materials segment decreased by $750 million to $215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2023 from $965 million in the second quarter of 2022. This decrease in income from operations in the second quarter of 2023, as compared to the second quarter of 2022, was primarily due to lower PVC resin, polyethylene and epoxy sales prices and volumes, lower sales volumes for caustic soda and planned and unplanned outages, partially offset by higher caustic soda and chlorine sales prices and lower natural gas and feedstock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 Segment</w:t>
      </w:r>
    </w:p>
    <w:p>
      <w:pPr>
        <w:spacing w:after="0" w:line="104"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the Housing and Infrastructure Products segment decreased by $264 million, or 19%, to $1,115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2023 from $1,379 million in the second quarter of 2022. Our businesses in the Housing and Infrastructure Products segment continued to experience lower demand in the second quarter of 2023 as compared to the second quarter of 2022, which resulted in an 18% decrease in sales volumes for the segment. Average sales prices for the Housing and Infrastructure Products segment slightly decreased in the second quarter of 2023 as compared to the second quarter of 2022, primarily due to lower PVC compounds sales prices, most of which was offset by higher sales prices for our building products.</w:t>
      </w:r>
    </w:p>
    <w:p>
      <w:pPr>
        <w:spacing w:after="0" w:line="107"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Income from operations for the Housing and Infrastructure Products segment decreased by $46 million to $190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2023 from $236 million in the second quarter of 2022. This decrease in income from operations in the second quarter of 2023, as compared to the second quarter of 2022, was primarily due to lower sales volumes across all of our housing and infrastructure businesses and lower sales prices for PVC compounds, partially offset by higher sales prices for our building products as well as lower raw material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10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by $1,932 million, or 23%, to $6,607 million in the six months ended June 30, 2023 from $8,539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primarily due to lower sales prices and volumes for most of our products, partially offset by higher caustic soda and chlorine sales prices. Average sales prices for the six months ended June 30, 2023 decreased by 12% as compared to the six months ended June 30, 2022 due to continuing weaker demand for most of our products, partially offset by higher sales prices for caustic soda and chlorine. Sales volumes decreased by 11% for the six months ended June 30, 2023 as compared to the six months ended June 30, 2022, substantially due to weaker global demand for many of our products across both the segments.</w:t>
      </w:r>
    </w:p>
    <w:p>
      <w:pPr>
        <w:spacing w:after="0" w:line="13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was 22% in the six months ended June 30, 2023 as compared to 32% in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decrease in gross profit margin was primarily due to lower prices and margins for most of our products, which was partially offset by higher prices for caustic soda as well as lower natural gas and feedstock costs.</w:t>
      </w:r>
    </w:p>
    <w:p>
      <w:pPr>
        <w:spacing w:after="0" w:line="130" w:lineRule="exact"/>
        <w:rPr>
          <w:sz w:val="20"/>
          <w:szCs w:val="20"/>
          <w:color w:val="auto"/>
        </w:rPr>
      </w:pPr>
    </w:p>
    <w:p>
      <w:pPr>
        <w:ind w:right="280" w:firstLine="405"/>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$15 million to $435 million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2023 as compared to $420 million in the six months ended June 30, 2022. This increase was mainly due to higher compensation</w:t>
      </w:r>
    </w:p>
    <w:p>
      <w:pPr>
        <w:spacing w:after="0"/>
        <w:rPr>
          <w:sz w:val="20"/>
          <w:szCs w:val="20"/>
          <w:color w:val="auto"/>
        </w:rPr>
      </w:pPr>
      <w:r>
        <w:rPr>
          <w:rFonts w:ascii="Arial" w:cs="Arial" w:eastAsia="Arial" w:hAnsi="Arial"/>
          <w:sz w:val="16"/>
          <w:szCs w:val="16"/>
          <w:color w:val="auto"/>
        </w:rPr>
        <w:t>expenses and a full six months of selling, general, and administrative expenses in the current period for the epoxy business acquired in February 2022</w:t>
      </w:r>
      <w:r>
        <w:rPr>
          <w:rFonts w:ascii="Arial" w:cs="Arial" w:eastAsia="Arial" w:hAnsi="Arial"/>
          <w:sz w:val="19"/>
          <w:szCs w:val="19"/>
          <w:i w:val="1"/>
          <w:iCs w:val="1"/>
          <w:color w:val="auto"/>
        </w:rPr>
        <w:t>.</w:t>
      </w:r>
    </w:p>
    <w:p>
      <w:pPr>
        <w:spacing w:after="0" w:line="186"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expense decreased by $24 million to $61 million in the six months ended June 30,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$85 million in the six months ended June 30, 2022, primarily due to the end of useful lives of certain intangible assets within the Housing and Infrastructure Products segment during the third quarter of 2022.</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i w:val="1"/>
          <w:iCs w:val="1"/>
          <w:color w:val="auto"/>
        </w:rPr>
        <w:t xml:space="preserve">Restructuring, Transaction and Integration-Related Costs. </w:t>
      </w:r>
      <w:r>
        <w:rPr>
          <w:rFonts w:ascii="Arial" w:cs="Arial" w:eastAsia="Arial" w:hAnsi="Arial"/>
          <w:sz w:val="18"/>
          <w:szCs w:val="18"/>
          <w:color w:val="auto"/>
        </w:rPr>
        <w:t>Restructuring, transaction and integration-related costs decreased by $12 million to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June 30, 2023, from $18 million in the six months ended June 30, 2022, primarily due to decreased integration activity related to the businesses acquired in previous years.</w:t>
      </w:r>
    </w:p>
    <w:p>
      <w:pPr>
        <w:spacing w:after="0" w:line="13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$6 million to $84 million in the six months ended June 30, 2023 from $90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primarily due to the repayment of $269 million of debt during 2022.</w:t>
      </w:r>
    </w:p>
    <w:p>
      <w:pPr>
        <w:spacing w:after="0" w:line="116"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increased by $17 million to $45 million in the six months ended June 30, 2023 from $28 million in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substantially due to higher interest income attributable to higher interest rates in the current period.</w:t>
      </w:r>
    </w:p>
    <w:p>
      <w:pPr>
        <w:spacing w:after="0" w:line="9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20.0% for the six months ended June 30, 2023 as compared to 23.7%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The change in effective tax rate in the six months ended June 30, 2023 as compared to the six months ended June 30, 2022 was primarily due to an increase in U.S. federal research and development credits available to the Company, the reduction of reserves for uncertain income tax positions as a result of a closed federal income tax audit and a decrease in state and foreign taxes.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Essential Materials Segment</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Performance and Essential Materials segment decreased by $1,451 million, or 24%, to $4,485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from $5,936 million in the six months ended June 30, 2022. Average sales prices for the Performance and Essential Materials segment decreased by 17% in the six months ended June 30, 2023 as compared to the six months ended June 30, 2022. Lower Performance Materials sales prices were primarily due to lower PVC resin, polyethylene and epoxy sales prices. These decreases were partially offset by higher caustic soda and chlorine sales prices in the Essential Materials businesses. Sales volumes for the Performance and Essential Materials segment decreased by 8% in the six months ended June 30, 2023 as compared to the six months ended June 30, 2022, primarily resulting from lower global demand for our products across our businesses under this segment.</w:t>
      </w:r>
    </w:p>
    <w:p>
      <w:pPr>
        <w:spacing w:after="0" w:line="14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for the Performance and Essential Materials segment decreased by $1,226 million to $618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June 30, 2023 from $1,844 million in the six months ended June 30, 2022. This decrease in income from operations in the six months ended June 30, 2023, as compared to the six months ended June 30, 2022, was primarily due to lower PVC resin, polyethylene and epoxy sales prices and volumes, lower sales volumes for caustic soda and planned and unplanned outages, partially offset by higher caustic soda and chlorine sales prices and lower natural gas and feedstock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Housing and Infrastructure Products Segment</w:t>
      </w:r>
    </w:p>
    <w:p>
      <w:pPr>
        <w:spacing w:after="0" w:line="10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Housing and Infrastructure Products segment decreased by $481 million, or 18%, to $2,122 million in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2023 from $2,603 million in the six months ended June 30, 2022. Our businesses in the Housing and Infrastructure Products segment experienced lower demand in the six months ended June 30, 2023 as compared to the six months ended June 30, 2022, which resulted in a 19% decrease in sales volume for the segment. Average sales prices for the Housing and Infrastructure Products segment increased slightly by 1% in the six months ended June 30, 2023, as compared to the six months ended June 30, 2022, primarily due to higher sales prices for our building products and PVC pipe and fittings, most of which was offset by lower PVC compounds sales prices.</w:t>
      </w:r>
    </w:p>
    <w:p>
      <w:pPr>
        <w:spacing w:after="0" w:line="12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for the Housing and Infrastructure Products segment decreased by $88 million to $333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2023 from $421 million in the six months ended June 30, 2022. This decrease in income from operations in the six months ended June 30, 2023, as compared to the six months ended June 30, 2022, was primarily due to lower sales volumes across all of our housing and infrastructure businesses and lower sales prices for PVC compounds, partially offset by higher sales prices for our building products and PVC pipe and fittings as well as lower raw material costs.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 FOR THE SIX MONTHS ENDED JUNE 30, 2023 AND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Operating activities provided cash of $1,067 million in the first six months of 2023 compared to cash provided by operating activities of $1,613 million in the first six months of 2022. The $546 million decrease in cash flows from operating activities was mainly due to a decrease in income from operations, partially offset by favorable changes in working capital. Changes in components of working capital, which we define for purposes of this cash flow discussion as accounts receivable, inventories, prepaid expenses and other current assets, less accounts payable and accrued and other liabilities, provided cash of $30 million in the first six months of 2023, compared to $577 million of cash used in the first six months of 2022, a favorable change of $607 million. The favorable change in the first six months of 2023 was substantially driven by the favorable changes in accounts receivable and inventories, primarily due to the lower operating activities in the first six months of 2023, as compared to the first six months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Net cash used for investing activities in the first six months of 2023 was $499 million as compared to net cash used for investing activities of $1,803 million in the first six months of 2022. The decrease in investing activities in the first six months of 2023 as compared to first six months of 2022, was primarily because of the epoxy acquisition in February 2022 for $1,163 million. Capital expenditures were $507 million in the first six months of 2023 as compared to $493 million in the first six months of 2022. Capital expenditures in the first six months of 2023 and 2022 were primarily related to projects to improve production capacity or reduce costs, maintenance and safety projects and environmental projects at our various facilities.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Net cash used for financing activities during the first six months of 2023 was $131 million as compared to net cash used for financing activities of $377 million in the first six months of 2022. The activities during the first six months of 2023 were primarily related to the $92 million payment of cash dividends, the $24 million payment of cash distributions to noncontrolling interests and repurchases of shares of our common stock for an aggregate amount of $23 million. The financing activities in the first six months of 2022 were primarily related to the $77 million payment of cash dividends, the $24 million payment of cash distributions to noncontrolling interests, the redemption of $250 million aggregate principal amount of the 3.60% Senior Notes due 2022 and repurchases of our common stock of $31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principal sources of liquidity are from cash and cash equivalents, cash from operations, short-term borrowings under the credit agreement and our long-term financing.</w:t>
      </w:r>
    </w:p>
    <w:p>
      <w:pPr>
        <w:spacing w:after="0" w:line="116"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June 30, 2023, we had repurchased 8,722,550 shares of our common stock for an aggregate purchase price of approximately $574 million under the 2014 Program. During the six months ended June 30, 2023, we repurchased 9,552 shares of our common stock under the 2014 Program.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1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WLK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June 30, 2023.</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We believe that our sources of liquidity as described above are adequate to fund our normal operations and ongoing capital expenditures and turnaround activities. Funding of any potential large expansions or potential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of June 30, 2023, our cash and cash equivalents totaled $2,677 million. In addition to our cash and cash equivalents, our credit agreement is available as needed, as described under "Debt"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As of June 30, 2023, the carrying value of our long-term indebtedness totaled $4,894 million. See Note 8 to the consolidated financial statements appearing elsewhere in this Form 10-Q for a discussion of our long-term indebtedness. Defined terms used in this section have the definitions assigned to such terms in Note 8 to the consolidated financial statements included in Item 1 of Part I of this Form 10-Q.</w:t>
      </w:r>
    </w:p>
    <w:p>
      <w:pPr>
        <w:spacing w:after="0" w:line="13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the credit agreement will be adequate to meet our normal operating needs for the foreseeable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June 30,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Principal Amount</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Optional Redemption</w:t>
            </w:r>
          </w:p>
        </w:tc>
        <w:tc>
          <w:tcPr>
            <w:tcW w:w="0" w:type="dxa"/>
            <w:vAlign w:val="bottom"/>
          </w:tcPr>
          <w:p>
            <w:pPr>
              <w:spacing w:after="0"/>
              <w:rPr>
                <w:sz w:val="1"/>
                <w:szCs w:val="1"/>
                <w:color w:val="auto"/>
              </w:rPr>
            </w:pPr>
          </w:p>
        </w:tc>
      </w:tr>
      <w:tr>
        <w:trPr>
          <w:trHeight w:val="13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Debt Issuance Date</w:t>
            </w:r>
          </w:p>
        </w:tc>
        <w:tc>
          <w:tcPr>
            <w:tcW w:w="120" w:type="dxa"/>
            <w:vAlign w:val="bottom"/>
          </w:tcPr>
          <w:p>
            <w:pPr>
              <w:spacing w:after="0"/>
              <w:rPr>
                <w:sz w:val="12"/>
                <w:szCs w:val="12"/>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Pr>
          <w:p>
            <w:pPr>
              <w:spacing w:after="0"/>
              <w:rPr>
                <w:sz w:val="12"/>
                <w:szCs w:val="12"/>
                <w:color w:val="auto"/>
              </w:rPr>
            </w:pPr>
          </w:p>
        </w:tc>
        <w:tc>
          <w:tcPr>
            <w:tcW w:w="14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Par Call Date</w:t>
            </w:r>
          </w:p>
        </w:tc>
        <w:tc>
          <w:tcPr>
            <w:tcW w:w="1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Terms and Other</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Matters</w:t>
            </w:r>
          </w:p>
        </w:tc>
        <w:tc>
          <w:tcPr>
            <w:tcW w:w="0" w:type="dxa"/>
            <w:vAlign w:val="bottom"/>
          </w:tcPr>
          <w:p>
            <w:pPr>
              <w:spacing w:after="0"/>
              <w:rPr>
                <w:sz w:val="1"/>
                <w:szCs w:val="1"/>
                <w:color w:val="auto"/>
              </w:rPr>
            </w:pPr>
          </w:p>
        </w:tc>
      </w:tr>
      <w:tr>
        <w:trPr>
          <w:trHeight w:val="26"/>
        </w:trPr>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0.875% senior notes due 2024 (the "0.875%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center"/>
              <w:ind w:right="71"/>
              <w:spacing w:after="0"/>
              <w:rPr>
                <w:sz w:val="20"/>
                <w:szCs w:val="20"/>
                <w:color w:val="auto"/>
              </w:rPr>
            </w:pPr>
            <w:r>
              <w:rPr>
                <w:rFonts w:ascii="Arial" w:cs="Arial" w:eastAsia="Arial" w:hAnsi="Arial"/>
                <w:sz w:val="18"/>
                <w:szCs w:val="18"/>
                <w:color w:val="auto"/>
                <w:w w:val="92"/>
              </w:rPr>
              <w:t>August 2021</w:t>
            </w: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92"/>
              </w:rPr>
              <w:t>August 2024</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center"/>
              <w:ind w:right="53"/>
              <w:spacing w:after="0"/>
              <w:rPr>
                <w:sz w:val="20"/>
                <w:szCs w:val="20"/>
                <w:color w:val="auto"/>
              </w:rPr>
            </w:pPr>
            <w:r>
              <w:rPr>
                <w:rFonts w:ascii="Arial" w:cs="Arial" w:eastAsia="Arial" w:hAnsi="Arial"/>
                <w:sz w:val="18"/>
                <w:szCs w:val="18"/>
                <w:color w:val="auto"/>
                <w:w w:val="91"/>
              </w:rPr>
              <w:t>August 15, 2022</w:t>
            </w:r>
          </w:p>
        </w:tc>
        <w:tc>
          <w:tcPr>
            <w:tcW w:w="1540" w:type="dxa"/>
            <w:vAlign w:val="bottom"/>
            <w:gridSpan w:val="2"/>
            <w:vMerge w:val="restart"/>
            <w:shd w:val="clear" w:color="auto" w:fill="CCEEFF"/>
          </w:tcPr>
          <w:p>
            <w:pPr>
              <w:jc w:val="right"/>
              <w:ind w:right="56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 Senior Notes")</w:t>
            </w:r>
          </w:p>
        </w:tc>
        <w:tc>
          <w:tcPr>
            <w:tcW w:w="1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5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w w:val="95"/>
              </w:rPr>
              <w:t>3.60% senior notes due 2026 (the "3.60% 2026</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5"/>
                <w:szCs w:val="15"/>
                <w:color w:val="auto"/>
              </w:rPr>
            </w:pPr>
          </w:p>
        </w:tc>
        <w:tc>
          <w:tcPr>
            <w:tcW w:w="142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August 2016</w:t>
            </w:r>
          </w:p>
        </w:tc>
        <w:tc>
          <w:tcPr>
            <w:tcW w:w="120" w:type="dxa"/>
            <w:vAlign w:val="bottom"/>
          </w:tcPr>
          <w:p>
            <w:pPr>
              <w:spacing w:after="0"/>
              <w:rPr>
                <w:sz w:val="15"/>
                <w:szCs w:val="15"/>
                <w:color w:val="auto"/>
              </w:rPr>
            </w:pPr>
          </w:p>
        </w:tc>
        <w:tc>
          <w:tcPr>
            <w:tcW w:w="1480" w:type="dxa"/>
            <w:vAlign w:val="bottom"/>
            <w:vMerge w:val="restart"/>
          </w:tcPr>
          <w:p>
            <w:pPr>
              <w:jc w:val="center"/>
              <w:ind w:right="91"/>
              <w:spacing w:after="0"/>
              <w:rPr>
                <w:sz w:val="20"/>
                <w:szCs w:val="20"/>
                <w:color w:val="auto"/>
              </w:rPr>
            </w:pPr>
            <w:r>
              <w:rPr>
                <w:rFonts w:ascii="Arial" w:cs="Arial" w:eastAsia="Arial" w:hAnsi="Arial"/>
                <w:sz w:val="18"/>
                <w:szCs w:val="18"/>
                <w:color w:val="auto"/>
                <w:w w:val="92"/>
              </w:rPr>
              <w:t>August 2026</w:t>
            </w:r>
          </w:p>
        </w:tc>
        <w:tc>
          <w:tcPr>
            <w:tcW w:w="100" w:type="dxa"/>
            <w:vAlign w:val="bottom"/>
          </w:tcPr>
          <w:p>
            <w:pPr>
              <w:spacing w:after="0"/>
              <w:rPr>
                <w:sz w:val="15"/>
                <w:szCs w:val="15"/>
                <w:color w:val="auto"/>
              </w:rPr>
            </w:pPr>
          </w:p>
        </w:tc>
        <w:tc>
          <w:tcPr>
            <w:tcW w:w="1420" w:type="dxa"/>
            <w:vAlign w:val="bottom"/>
            <w:vMerge w:val="restart"/>
          </w:tcPr>
          <w:p>
            <w:pPr>
              <w:jc w:val="center"/>
              <w:ind w:right="53"/>
              <w:spacing w:after="0"/>
              <w:rPr>
                <w:sz w:val="20"/>
                <w:szCs w:val="20"/>
                <w:color w:val="auto"/>
              </w:rPr>
            </w:pPr>
            <w:r>
              <w:rPr>
                <w:rFonts w:ascii="Arial" w:cs="Arial" w:eastAsia="Arial" w:hAnsi="Arial"/>
                <w:sz w:val="18"/>
                <w:szCs w:val="18"/>
                <w:color w:val="auto"/>
                <w:w w:val="91"/>
              </w:rPr>
              <w:t>May 15, 2026</w:t>
            </w: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(1) (4)</w:t>
            </w: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Loan related to tax-exempt waste disposal</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bonds due 2027</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88"/>
              </w:rPr>
              <w:t>December 1997</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8"/>
              </w:rPr>
              <w:t>December 2027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w w:val="94"/>
              </w:rPr>
              <w:t>1.625% €700 million senior notes due 2029 (the</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5"/>
                <w:szCs w:val="15"/>
                <w:color w:val="auto"/>
              </w:rPr>
            </w:pPr>
          </w:p>
        </w:tc>
        <w:tc>
          <w:tcPr>
            <w:tcW w:w="1420" w:type="dxa"/>
            <w:vAlign w:val="bottom"/>
            <w:vMerge w:val="restart"/>
          </w:tcPr>
          <w:p>
            <w:pPr>
              <w:jc w:val="center"/>
              <w:ind w:right="71"/>
              <w:spacing w:after="0"/>
              <w:rPr>
                <w:sz w:val="20"/>
                <w:szCs w:val="20"/>
                <w:color w:val="auto"/>
              </w:rPr>
            </w:pPr>
            <w:r>
              <w:rPr>
                <w:rFonts w:ascii="Arial" w:cs="Arial" w:eastAsia="Arial" w:hAnsi="Arial"/>
                <w:sz w:val="18"/>
                <w:szCs w:val="18"/>
                <w:color w:val="auto"/>
                <w:w w:val="90"/>
              </w:rPr>
              <w:t>July 2019</w:t>
            </w:r>
          </w:p>
        </w:tc>
        <w:tc>
          <w:tcPr>
            <w:tcW w:w="120" w:type="dxa"/>
            <w:vAlign w:val="bottom"/>
          </w:tcPr>
          <w:p>
            <w:pPr>
              <w:spacing w:after="0"/>
              <w:rPr>
                <w:sz w:val="15"/>
                <w:szCs w:val="15"/>
                <w:color w:val="auto"/>
              </w:rPr>
            </w:pPr>
          </w:p>
        </w:tc>
        <w:tc>
          <w:tcPr>
            <w:tcW w:w="1480" w:type="dxa"/>
            <w:vAlign w:val="bottom"/>
            <w:vMerge w:val="restart"/>
          </w:tcPr>
          <w:p>
            <w:pPr>
              <w:jc w:val="center"/>
              <w:ind w:right="91"/>
              <w:spacing w:after="0"/>
              <w:rPr>
                <w:sz w:val="20"/>
                <w:szCs w:val="20"/>
                <w:color w:val="auto"/>
              </w:rPr>
            </w:pPr>
            <w:r>
              <w:rPr>
                <w:rFonts w:ascii="Arial" w:cs="Arial" w:eastAsia="Arial" w:hAnsi="Arial"/>
                <w:sz w:val="18"/>
                <w:szCs w:val="18"/>
                <w:color w:val="auto"/>
                <w:w w:val="90"/>
              </w:rPr>
              <w:t>July 2029</w:t>
            </w:r>
          </w:p>
        </w:tc>
        <w:tc>
          <w:tcPr>
            <w:tcW w:w="100" w:type="dxa"/>
            <w:vAlign w:val="bottom"/>
          </w:tcPr>
          <w:p>
            <w:pPr>
              <w:spacing w:after="0"/>
              <w:rPr>
                <w:sz w:val="15"/>
                <w:szCs w:val="15"/>
                <w:color w:val="auto"/>
              </w:rPr>
            </w:pPr>
          </w:p>
        </w:tc>
        <w:tc>
          <w:tcPr>
            <w:tcW w:w="1420" w:type="dxa"/>
            <w:vAlign w:val="bottom"/>
            <w:vMerge w:val="restart"/>
          </w:tcPr>
          <w:p>
            <w:pPr>
              <w:ind w:left="160"/>
              <w:spacing w:after="0"/>
              <w:rPr>
                <w:sz w:val="20"/>
                <w:szCs w:val="20"/>
                <w:color w:val="auto"/>
              </w:rPr>
            </w:pPr>
            <w:r>
              <w:rPr>
                <w:rFonts w:ascii="Arial" w:cs="Arial" w:eastAsia="Arial" w:hAnsi="Arial"/>
                <w:sz w:val="18"/>
                <w:szCs w:val="18"/>
                <w:color w:val="auto"/>
              </w:rPr>
              <w:t>April 17, 2029</w:t>
            </w: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(1) (2)</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rPr>
              <w:t>"1.625% 2029 Senior Notes")</w:t>
            </w:r>
          </w:p>
        </w:tc>
        <w:tc>
          <w:tcPr>
            <w:tcW w:w="1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3.375% senior notes due 2030 (the "3.375%</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right="71"/>
              <w:spacing w:after="0"/>
              <w:rPr>
                <w:sz w:val="20"/>
                <w:szCs w:val="20"/>
                <w:color w:val="auto"/>
              </w:rPr>
            </w:pPr>
            <w:r>
              <w:rPr>
                <w:rFonts w:ascii="Arial" w:cs="Arial" w:eastAsia="Arial" w:hAnsi="Arial"/>
                <w:sz w:val="18"/>
                <w:szCs w:val="18"/>
                <w:color w:val="auto"/>
                <w:w w:val="87"/>
              </w:rPr>
              <w:t>June 2020</w:t>
            </w: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87"/>
              </w:rPr>
              <w:t>June 2030</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right="73"/>
              <w:spacing w:after="0"/>
              <w:rPr>
                <w:sz w:val="20"/>
                <w:szCs w:val="20"/>
                <w:color w:val="auto"/>
              </w:rPr>
            </w:pPr>
            <w:r>
              <w:rPr>
                <w:rFonts w:ascii="Arial" w:cs="Arial" w:eastAsia="Arial" w:hAnsi="Arial"/>
                <w:sz w:val="18"/>
                <w:szCs w:val="18"/>
                <w:color w:val="auto"/>
                <w:w w:val="91"/>
              </w:rPr>
              <w:t>March 15, 2030</w:t>
            </w:r>
          </w:p>
        </w:tc>
        <w:tc>
          <w:tcPr>
            <w:tcW w:w="15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2030 Senior Notes")</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20"/>
              <w:spacing w:after="0" w:line="189" w:lineRule="exact"/>
              <w:rPr>
                <w:sz w:val="20"/>
                <w:szCs w:val="20"/>
                <w:color w:val="auto"/>
              </w:rPr>
            </w:pPr>
            <w:r>
              <w:rPr>
                <w:rFonts w:ascii="Arial" w:cs="Arial" w:eastAsia="Arial" w:hAnsi="Arial"/>
                <w:sz w:val="18"/>
                <w:szCs w:val="18"/>
                <w:color w:val="auto"/>
                <w:w w:val="95"/>
              </w:rPr>
              <w:t>3.50% senior notes due 2032 (the "3.50% 2032</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180"/>
              <w:spacing w:after="0" w:line="176" w:lineRule="exact"/>
              <w:rPr>
                <w:sz w:val="20"/>
                <w:szCs w:val="20"/>
                <w:color w:val="auto"/>
              </w:rPr>
            </w:pPr>
            <w:r>
              <w:rPr>
                <w:rFonts w:ascii="Arial" w:cs="Arial" w:eastAsia="Arial" w:hAnsi="Arial"/>
                <w:sz w:val="18"/>
                <w:szCs w:val="18"/>
                <w:color w:val="auto"/>
              </w:rPr>
              <w:t>tax-exempt GO Zone Refunding Senior</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5"/>
                <w:szCs w:val="15"/>
                <w:color w:val="auto"/>
              </w:rPr>
            </w:pPr>
          </w:p>
        </w:tc>
        <w:tc>
          <w:tcPr>
            <w:tcW w:w="142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November 2017</w:t>
            </w:r>
          </w:p>
        </w:tc>
        <w:tc>
          <w:tcPr>
            <w:tcW w:w="120" w:type="dxa"/>
            <w:vAlign w:val="bottom"/>
          </w:tcPr>
          <w:p>
            <w:pPr>
              <w:spacing w:after="0"/>
              <w:rPr>
                <w:sz w:val="15"/>
                <w:szCs w:val="15"/>
                <w:color w:val="auto"/>
              </w:rPr>
            </w:pPr>
          </w:p>
        </w:tc>
        <w:tc>
          <w:tcPr>
            <w:tcW w:w="1480" w:type="dxa"/>
            <w:vAlign w:val="bottom"/>
            <w:vMerge w:val="restart"/>
          </w:tcPr>
          <w:p>
            <w:pPr>
              <w:jc w:val="center"/>
              <w:ind w:right="91"/>
              <w:spacing w:after="0"/>
              <w:rPr>
                <w:sz w:val="20"/>
                <w:szCs w:val="20"/>
                <w:color w:val="auto"/>
              </w:rPr>
            </w:pPr>
            <w:r>
              <w:rPr>
                <w:rFonts w:ascii="Arial" w:cs="Arial" w:eastAsia="Arial" w:hAnsi="Arial"/>
                <w:sz w:val="18"/>
                <w:szCs w:val="18"/>
                <w:color w:val="auto"/>
                <w:w w:val="92"/>
              </w:rPr>
              <w:t>November 2032</w:t>
            </w: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November 1, 2027</w:t>
            </w:r>
          </w:p>
        </w:tc>
        <w:tc>
          <w:tcPr>
            <w:tcW w:w="1540" w:type="dxa"/>
            <w:vAlign w:val="bottom"/>
            <w:gridSpan w:val="2"/>
            <w:vMerge w:val="restart"/>
          </w:tcPr>
          <w:p>
            <w:pPr>
              <w:jc w:val="right"/>
              <w:ind w:right="58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640" w:type="dxa"/>
            <w:vAlign w:val="bottom"/>
          </w:tcPr>
          <w:p>
            <w:pPr>
              <w:ind w:left="18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2.875% senior notes due 2041 (the "2.875%</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2041 Senior Notes")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2"/>
              </w:rPr>
              <w:t>August 2021</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2"/>
              </w:rPr>
              <w:t>August 2041</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February 15, 2041</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w w:val="95"/>
              </w:rPr>
              <w:t>5.00% senior notes due 2046 (the "5.00% 2046</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5"/>
                <w:szCs w:val="15"/>
                <w:color w:val="auto"/>
              </w:rPr>
            </w:pPr>
          </w:p>
        </w:tc>
        <w:tc>
          <w:tcPr>
            <w:tcW w:w="1420" w:type="dxa"/>
            <w:vAlign w:val="bottom"/>
            <w:vMerge w:val="restart"/>
          </w:tcPr>
          <w:p>
            <w:pPr>
              <w:jc w:val="center"/>
              <w:ind w:right="71"/>
              <w:spacing w:after="0"/>
              <w:rPr>
                <w:sz w:val="20"/>
                <w:szCs w:val="20"/>
                <w:color w:val="auto"/>
              </w:rPr>
            </w:pPr>
            <w:r>
              <w:rPr>
                <w:rFonts w:ascii="Arial" w:cs="Arial" w:eastAsia="Arial" w:hAnsi="Arial"/>
                <w:sz w:val="18"/>
                <w:szCs w:val="18"/>
                <w:color w:val="auto"/>
                <w:w w:val="92"/>
              </w:rPr>
              <w:t>August 2016</w:t>
            </w:r>
          </w:p>
        </w:tc>
        <w:tc>
          <w:tcPr>
            <w:tcW w:w="120" w:type="dxa"/>
            <w:vAlign w:val="bottom"/>
          </w:tcPr>
          <w:p>
            <w:pPr>
              <w:spacing w:after="0"/>
              <w:rPr>
                <w:sz w:val="15"/>
                <w:szCs w:val="15"/>
                <w:color w:val="auto"/>
              </w:rPr>
            </w:pPr>
          </w:p>
        </w:tc>
        <w:tc>
          <w:tcPr>
            <w:tcW w:w="1480" w:type="dxa"/>
            <w:vAlign w:val="bottom"/>
            <w:vMerge w:val="restart"/>
          </w:tcPr>
          <w:p>
            <w:pPr>
              <w:jc w:val="center"/>
              <w:ind w:right="91"/>
              <w:spacing w:after="0"/>
              <w:rPr>
                <w:sz w:val="20"/>
                <w:szCs w:val="20"/>
                <w:color w:val="auto"/>
              </w:rPr>
            </w:pPr>
            <w:r>
              <w:rPr>
                <w:rFonts w:ascii="Arial" w:cs="Arial" w:eastAsia="Arial" w:hAnsi="Arial"/>
                <w:sz w:val="18"/>
                <w:szCs w:val="18"/>
                <w:color w:val="auto"/>
                <w:w w:val="92"/>
              </w:rPr>
              <w:t>August 2046</w:t>
            </w: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February 15, 2046</w:t>
            </w: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(1) (4)</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4.375% senior notes due 2047 (the "4.375%</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right="71"/>
              <w:spacing w:after="0"/>
              <w:rPr>
                <w:sz w:val="20"/>
                <w:szCs w:val="20"/>
                <w:color w:val="auto"/>
              </w:rPr>
            </w:pPr>
            <w:r>
              <w:rPr>
                <w:rFonts w:ascii="Arial" w:cs="Arial" w:eastAsia="Arial" w:hAnsi="Arial"/>
                <w:sz w:val="18"/>
                <w:szCs w:val="18"/>
                <w:color w:val="auto"/>
                <w:w w:val="92"/>
              </w:rPr>
              <w:t>November 2017</w:t>
            </w: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92"/>
              </w:rPr>
              <w:t>November 2047</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right="53"/>
              <w:spacing w:after="0"/>
              <w:rPr>
                <w:sz w:val="20"/>
                <w:szCs w:val="20"/>
                <w:color w:val="auto"/>
              </w:rPr>
            </w:pPr>
            <w:r>
              <w:rPr>
                <w:rFonts w:ascii="Arial" w:cs="Arial" w:eastAsia="Arial" w:hAnsi="Arial"/>
                <w:sz w:val="18"/>
                <w:szCs w:val="18"/>
                <w:color w:val="auto"/>
                <w:w w:val="91"/>
              </w:rPr>
              <w:t>May 15, 2047</w:t>
            </w:r>
          </w:p>
        </w:tc>
        <w:tc>
          <w:tcPr>
            <w:tcW w:w="15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2047 Senior Notes")</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20"/>
              <w:spacing w:after="0" w:line="189" w:lineRule="exact"/>
              <w:rPr>
                <w:sz w:val="20"/>
                <w:szCs w:val="20"/>
                <w:color w:val="auto"/>
              </w:rPr>
            </w:pPr>
            <w:r>
              <w:rPr>
                <w:rFonts w:ascii="Arial" w:cs="Arial" w:eastAsia="Arial" w:hAnsi="Arial"/>
                <w:sz w:val="18"/>
                <w:szCs w:val="18"/>
                <w:color w:val="auto"/>
              </w:rPr>
              <w:t>3.125% senior notes due 2051 (the "3.125%</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2051 Senior Notes")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420" w:type="dxa"/>
            <w:vAlign w:val="bottom"/>
          </w:tcPr>
          <w:p>
            <w:pPr>
              <w:jc w:val="center"/>
              <w:ind w:right="71"/>
              <w:spacing w:after="0"/>
              <w:rPr>
                <w:sz w:val="20"/>
                <w:szCs w:val="20"/>
                <w:color w:val="auto"/>
              </w:rPr>
            </w:pPr>
            <w:r>
              <w:rPr>
                <w:rFonts w:ascii="Arial" w:cs="Arial" w:eastAsia="Arial" w:hAnsi="Arial"/>
                <w:sz w:val="18"/>
                <w:szCs w:val="18"/>
                <w:color w:val="auto"/>
                <w:w w:val="92"/>
              </w:rPr>
              <w:t>August 2021</w:t>
            </w:r>
          </w:p>
        </w:tc>
        <w:tc>
          <w:tcPr>
            <w:tcW w:w="120" w:type="dxa"/>
            <w:vAlign w:val="bottom"/>
          </w:tcPr>
          <w:p>
            <w:pPr>
              <w:spacing w:after="0"/>
              <w:rPr>
                <w:sz w:val="20"/>
                <w:szCs w:val="20"/>
                <w:color w:val="auto"/>
              </w:rPr>
            </w:pPr>
          </w:p>
        </w:tc>
        <w:tc>
          <w:tcPr>
            <w:tcW w:w="1480" w:type="dxa"/>
            <w:vAlign w:val="bottom"/>
          </w:tcPr>
          <w:p>
            <w:pPr>
              <w:jc w:val="center"/>
              <w:ind w:right="91"/>
              <w:spacing w:after="0"/>
              <w:rPr>
                <w:sz w:val="20"/>
                <w:szCs w:val="20"/>
                <w:color w:val="auto"/>
              </w:rPr>
            </w:pPr>
            <w:r>
              <w:rPr>
                <w:rFonts w:ascii="Arial" w:cs="Arial" w:eastAsia="Arial" w:hAnsi="Arial"/>
                <w:sz w:val="18"/>
                <w:szCs w:val="18"/>
                <w:color w:val="auto"/>
                <w:w w:val="92"/>
              </w:rPr>
              <w:t>August 2051</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February 15, 2051</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3.375% senior notes due 2061 (the "3.375%</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center"/>
              <w:ind w:right="71"/>
              <w:spacing w:after="0"/>
              <w:rPr>
                <w:sz w:val="20"/>
                <w:szCs w:val="20"/>
                <w:color w:val="auto"/>
              </w:rPr>
            </w:pPr>
            <w:r>
              <w:rPr>
                <w:rFonts w:ascii="Arial" w:cs="Arial" w:eastAsia="Arial" w:hAnsi="Arial"/>
                <w:sz w:val="18"/>
                <w:szCs w:val="18"/>
                <w:color w:val="auto"/>
                <w:w w:val="92"/>
              </w:rPr>
              <w:t>August 2021</w:t>
            </w: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center"/>
              <w:ind w:right="91"/>
              <w:spacing w:after="0"/>
              <w:rPr>
                <w:sz w:val="20"/>
                <w:szCs w:val="20"/>
                <w:color w:val="auto"/>
              </w:rPr>
            </w:pPr>
            <w:r>
              <w:rPr>
                <w:rFonts w:ascii="Arial" w:cs="Arial" w:eastAsia="Arial" w:hAnsi="Arial"/>
                <w:sz w:val="18"/>
                <w:szCs w:val="18"/>
                <w:color w:val="auto"/>
                <w:w w:val="92"/>
              </w:rPr>
              <w:t>August 2061</w:t>
            </w:r>
          </w:p>
        </w:tc>
        <w:tc>
          <w:tcPr>
            <w:tcW w:w="15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February 15, 2061</w:t>
            </w:r>
          </w:p>
        </w:tc>
        <w:tc>
          <w:tcPr>
            <w:tcW w:w="15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 (3)</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2061 Senior Notes")</w:t>
            </w:r>
          </w:p>
        </w:tc>
        <w:tc>
          <w:tcPr>
            <w:tcW w:w="1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520" w:type="dxa"/>
            <w:vAlign w:val="bottom"/>
            <w:gridSpan w:val="2"/>
            <w:vMerge w:val="continue"/>
            <w:shd w:val="clear" w:color="auto" w:fill="CCEEFF"/>
          </w:tcPr>
          <w:p>
            <w:pPr>
              <w:spacing w:after="0"/>
              <w:rPr>
                <w:sz w:val="21"/>
                <w:szCs w:val="21"/>
                <w:color w:val="auto"/>
              </w:rPr>
            </w:pPr>
          </w:p>
        </w:tc>
        <w:tc>
          <w:tcPr>
            <w:tcW w:w="15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640" w:type="dxa"/>
            <w:vAlign w:val="bottom"/>
          </w:tcPr>
          <w:p>
            <w:pPr>
              <w:ind w:left="20"/>
              <w:spacing w:after="0"/>
              <w:rPr>
                <w:sz w:val="20"/>
                <w:szCs w:val="20"/>
                <w:color w:val="auto"/>
              </w:rPr>
            </w:pPr>
            <w:r>
              <w:rPr>
                <w:rFonts w:ascii="Arial" w:cs="Arial" w:eastAsia="Arial" w:hAnsi="Arial"/>
                <w:sz w:val="18"/>
                <w:szCs w:val="18"/>
                <w:color w:val="auto"/>
              </w:rPr>
              <w:t>Term loan 2026 (the "2026 Term Loan")</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20" w:type="dxa"/>
            <w:vAlign w:val="bottom"/>
          </w:tcPr>
          <w:p>
            <w:pPr>
              <w:jc w:val="center"/>
              <w:ind w:right="71"/>
              <w:spacing w:after="0"/>
              <w:rPr>
                <w:sz w:val="20"/>
                <w:szCs w:val="20"/>
                <w:color w:val="auto"/>
              </w:rPr>
            </w:pPr>
            <w:r>
              <w:rPr>
                <w:rFonts w:ascii="Arial" w:cs="Arial" w:eastAsia="Arial" w:hAnsi="Arial"/>
                <w:sz w:val="18"/>
                <w:szCs w:val="18"/>
                <w:color w:val="auto"/>
                <w:w w:val="90"/>
              </w:rPr>
              <w:t>March 2021</w:t>
            </w:r>
          </w:p>
        </w:tc>
        <w:tc>
          <w:tcPr>
            <w:tcW w:w="120" w:type="dxa"/>
            <w:vAlign w:val="bottom"/>
          </w:tcPr>
          <w:p>
            <w:pPr>
              <w:spacing w:after="0"/>
              <w:rPr>
                <w:sz w:val="24"/>
                <w:szCs w:val="24"/>
                <w:color w:val="auto"/>
              </w:rPr>
            </w:pPr>
          </w:p>
        </w:tc>
        <w:tc>
          <w:tcPr>
            <w:tcW w:w="1480" w:type="dxa"/>
            <w:vAlign w:val="bottom"/>
          </w:tcPr>
          <w:p>
            <w:pPr>
              <w:jc w:val="center"/>
              <w:ind w:right="91"/>
              <w:spacing w:after="0"/>
              <w:rPr>
                <w:sz w:val="20"/>
                <w:szCs w:val="20"/>
                <w:color w:val="auto"/>
              </w:rPr>
            </w:pPr>
            <w:r>
              <w:rPr>
                <w:rFonts w:ascii="Arial" w:cs="Arial" w:eastAsia="Arial" w:hAnsi="Arial"/>
                <w:sz w:val="18"/>
                <w:szCs w:val="18"/>
                <w:color w:val="auto"/>
                <w:w w:val="90"/>
              </w:rPr>
              <w:t>March 2026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4" w:lineRule="exact"/>
        <w:rPr>
          <w:sz w:val="20"/>
          <w:szCs w:val="20"/>
          <w:color w:val="auto"/>
        </w:rPr>
      </w:pPr>
    </w:p>
    <w:p>
      <w:pPr>
        <w:ind w:left="460" w:hanging="412"/>
        <w:spacing w:after="0" w:line="277" w:lineRule="auto"/>
        <w:tabs>
          <w:tab w:leader="none" w:pos="4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right="280" w:hanging="412"/>
        <w:spacing w:after="0" w:line="275" w:lineRule="auto"/>
        <w:tabs>
          <w:tab w:leader="none" w:pos="445"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14" w:lineRule="exact"/>
        <w:rPr>
          <w:rFonts w:ascii="Arial" w:cs="Arial" w:eastAsia="Arial" w:hAnsi="Arial"/>
          <w:sz w:val="17"/>
          <w:szCs w:val="17"/>
          <w:color w:val="auto"/>
        </w:rPr>
      </w:pPr>
    </w:p>
    <w:p>
      <w:pPr>
        <w:ind w:left="460" w:right="60" w:hanging="412"/>
        <w:spacing w:after="0" w:line="257"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25" w:lineRule="exact"/>
        <w:rPr>
          <w:rFonts w:ascii="Arial" w:cs="Arial" w:eastAsia="Arial" w:hAnsi="Arial"/>
          <w:sz w:val="18"/>
          <w:szCs w:val="18"/>
          <w:color w:val="auto"/>
        </w:rPr>
      </w:pPr>
    </w:p>
    <w:p>
      <w:pPr>
        <w:ind w:left="460" w:right="120" w:hanging="412"/>
        <w:spacing w:after="0" w:line="279" w:lineRule="auto"/>
        <w:tabs>
          <w:tab w:leader="none" w:pos="445"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9" w:lineRule="exact"/>
        <w:rPr>
          <w:rFonts w:ascii="Arial" w:cs="Arial" w:eastAsia="Arial" w:hAnsi="Arial"/>
          <w:sz w:val="17"/>
          <w:szCs w:val="17"/>
          <w:color w:val="auto"/>
        </w:rPr>
      </w:pPr>
    </w:p>
    <w:p>
      <w:pPr>
        <w:ind w:left="460" w:right="60" w:hanging="412"/>
        <w:spacing w:after="0" w:line="257"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25" w:lineRule="exact"/>
        <w:rPr>
          <w:rFonts w:ascii="Arial" w:cs="Arial" w:eastAsia="Arial" w:hAnsi="Arial"/>
          <w:sz w:val="18"/>
          <w:szCs w:val="18"/>
          <w:color w:val="auto"/>
        </w:rPr>
      </w:pPr>
    </w:p>
    <w:p>
      <w:pPr>
        <w:ind w:left="460" w:right="60" w:hanging="412"/>
        <w:spacing w:after="0" w:line="263"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June 30, 2023 was 4.30%.</w:t>
      </w:r>
    </w:p>
    <w:p>
      <w:pPr>
        <w:spacing w:after="0" w:line="21" w:lineRule="exact"/>
        <w:rPr>
          <w:rFonts w:ascii="Arial" w:cs="Arial" w:eastAsia="Arial" w:hAnsi="Arial"/>
          <w:sz w:val="18"/>
          <w:szCs w:val="18"/>
          <w:color w:val="auto"/>
        </w:rPr>
      </w:pPr>
    </w:p>
    <w:p>
      <w:pPr>
        <w:ind w:left="460" w:right="160" w:hanging="412"/>
        <w:spacing w:after="0" w:line="277" w:lineRule="auto"/>
        <w:tabs>
          <w:tab w:leader="none" w:pos="4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2026 Term Loan has a 5-year maturity and include a government rate subsidy. The interest rate on the 2026 Term Loan as of June 30, 2023 was 0.95%.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holders of the 0.875% 2024 Senior Notes, the 3.60% 2026 Senior Notes, the 1.625% 2029 Senior Notes, the 3.375% 2030 Senior Notes,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3.50% 2032 tax-exempt GO Zone Refunding Senior Notes, the 2.875% 2041 Senior Notes, the 5.00% 2046 Senior Notes, the 4.375% 2047 Senior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3.125% 2051 Senior Notes and the 3.375% 2061 Senior Notes may require us to repurchase the notes at a price equal to 101% of their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plus accrued and unpaid interest to, but not including, the date of repurchase, upon the occurrence of both a "change of control" and, within 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of such change of control, a "below investment grade rating event" (as such terms are defined in the respective indentures governing these notes).</w:t>
      </w:r>
    </w:p>
    <w:p>
      <w:pPr>
        <w:spacing w:after="0" w:line="180" w:lineRule="exact"/>
        <w:rPr>
          <w:sz w:val="20"/>
          <w:szCs w:val="20"/>
          <w:color w:val="auto"/>
        </w:rPr>
      </w:pPr>
    </w:p>
    <w:p>
      <w:pPr>
        <w:jc w:val="both"/>
        <w:ind w:right="320" w:firstLine="405"/>
        <w:spacing w:after="0" w:line="275" w:lineRule="auto"/>
        <w:rPr>
          <w:sz w:val="20"/>
          <w:szCs w:val="20"/>
          <w:color w:val="auto"/>
        </w:rPr>
      </w:pPr>
      <w:r>
        <w:rPr>
          <w:rFonts w:ascii="Arial" w:cs="Arial" w:eastAsia="Arial" w:hAnsi="Arial"/>
          <w:sz w:val="17"/>
          <w:szCs w:val="17"/>
          <w:color w:val="auto"/>
        </w:rPr>
        <w:t>The indenture governing the 0.875% 2024 Senior Notes,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we were in compliance with all of our long-term debt covenants.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June 30, 2023, we were in compliance with the total leverage ratio financial maintenance covenant.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Chemical Partners LP Credit Arrangements</w:t>
      </w:r>
    </w:p>
    <w:p>
      <w:pPr>
        <w:spacing w:after="0" w:line="90"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subsidiary, Westlake Chemical Finance Corporation, is the lender party to a $600 million revolving credit facility with Westlake Chemical Partners LP ("Westlake Partners") (the "MLP Revolver") that is scheduled to mature on July 12, 2027. As of June 30, 2023,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1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subsidiary, Westlake Polymers LLC, is the administrative agent to a $600 million revolving credit facility with Westlake Chemical OpCo LP ("OpCo") (the "OpCo Revolver") that is scheduled to mature on July 12, 2027. As of June 30, 2023,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2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4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operating rates, margins, cash flows and demand for our products;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market outlook, including the price of crude oil, natural gas, ethane, housing starts and repair and remodeling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outlook, including rising interest rates, inflation and possible recession;</w:t>
      </w:r>
    </w:p>
    <w:p>
      <w:pPr>
        <w:spacing w:after="0" w:line="109" w:lineRule="exact"/>
        <w:rPr>
          <w:rFonts w:ascii="Arial" w:cs="Arial" w:eastAsia="Arial" w:hAnsi="Arial"/>
          <w:sz w:val="18"/>
          <w:szCs w:val="18"/>
          <w:color w:val="auto"/>
        </w:rPr>
      </w:pPr>
    </w:p>
    <w:p>
      <w:pPr>
        <w:ind w:left="900" w:right="160" w:hanging="325"/>
        <w:spacing w:after="0" w:line="271"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coronavirus (</w:t>
      </w:r>
      <w:r>
        <w:rPr>
          <w:rFonts w:ascii="Arial" w:cs="Arial" w:eastAsia="Arial" w:hAnsi="Arial"/>
          <w:sz w:val="21"/>
          <w:szCs w:val="21"/>
          <w:color w:val="auto"/>
        </w:rPr>
        <w:t>"</w:t>
      </w:r>
      <w:r>
        <w:rPr>
          <w:rFonts w:ascii="Arial" w:cs="Arial" w:eastAsia="Arial" w:hAnsi="Arial"/>
          <w:sz w:val="18"/>
          <w:szCs w:val="18"/>
          <w:color w:val="auto"/>
        </w:rPr>
        <w:t>COVID-19") pandemic, and efforts to contain its transmission;</w:t>
      </w:r>
    </w:p>
    <w:p>
      <w:pPr>
        <w:spacing w:after="0" w:line="54"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respond to the challenges presented by the COVID-19 pandemic;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capacities;</w:t>
      </w:r>
    </w:p>
    <w:p>
      <w:pPr>
        <w:spacing w:after="0" w:line="10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ongoing supply chain constraints and workforce availability caused by the COVID-19 pandemic and the conflict between Russia and Ukraine;</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devaluation;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borrow additional funds under our credit agreement;</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debt obligations under our debt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intended quarterly dividends;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capacity additions and expansions in the industries in which we compete;</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acquisitions including the results, effects and benefits of the acquisition of Westlake Epoxy;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plan obligations, funding requirements and investment policies;</w:t>
      </w:r>
    </w:p>
    <w:p>
      <w:pPr>
        <w:spacing w:after="0" w:line="103" w:lineRule="exact"/>
        <w:rPr>
          <w:rFonts w:ascii="Arial" w:cs="Arial" w:eastAsia="Arial" w:hAnsi="Arial"/>
          <w:sz w:val="18"/>
          <w:szCs w:val="18"/>
          <w:color w:val="auto"/>
        </w:rPr>
      </w:pPr>
    </w:p>
    <w:p>
      <w:pPr>
        <w:ind w:left="900" w:right="240" w:hanging="325"/>
        <w:spacing w:after="0" w:line="2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pending legal proceedings; and</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2022 Form 10-K and those described from time to time in our other filings with the SEC including, but not limited to, the following:</w:t>
      </w:r>
    </w:p>
    <w:p>
      <w:pPr>
        <w:spacing w:after="0" w:line="43" w:lineRule="exact"/>
        <w:rPr>
          <w:sz w:val="20"/>
          <w:szCs w:val="20"/>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ultimate timing, outcome and results of integrating the operations of Westlake Epoxy and the ultimate outcome of our operating efficiencies applied to the products and services of Westlake Epoxy; the effects of the acquisition, including the combined company's future financial condition, results of operations, strategy and plans; and expected synergies and other benefits from the acquisition and our ability to realize such synergies and other benefits;</w:t>
      </w:r>
    </w:p>
    <w:p>
      <w:pPr>
        <w:spacing w:after="0" w:line="5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inflation, interest rates and possible recession;</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chemical and building products industries;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the United States, European and worldwide economies, including those due to political tensions and unrest in the Middle East and elsewhere, including the conflict between Russia and Ukraine;</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climate change;</w:t>
      </w:r>
    </w:p>
    <w:p>
      <w:pPr>
        <w:spacing w:after="0" w:line="9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on demand for ethylene, polyethylene and polyvinyl chloride due to initiatives such as recycling and customers seeking alternatives to polymers;</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other countries;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03"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including trade policies;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systems failures and cyberattacks;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0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and options) in certain instances to reduce price volatility risk on feedstocks and products. Based on our open derivative positions at June 30, 2023, a hypothetical $0.10 increase in the price of a gallon of ethane and a hypothetical $0.10 increase in the price of a million British thermal units of natural gas would not have a material impact on our income before income taxes.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are exposed to interest rate risk with respect to fixed and variable rate debt. At June 30, 2023, we had $4,962 million aggregate principal amount of fixed rate debt. We are subject to the risk of higher interest cost if and when this debt is refinanced. If interest rates were 1.0% higher at the time of refinancing, our annual interest expense would increase by approximately $50 million. Also, at June 30, 2023, we had $25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$25 million as of June 30, 2023 was 2.42%. A hypothetical 100 basis point increase in the average interest rate on our variable rate debt would not result in a material change in the interest expense.</w:t>
      </w:r>
    </w:p>
    <w:p>
      <w:pPr>
        <w:spacing w:after="0" w:line="14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SOFR is used as a reference rate for borrowings under our revolving line of credit. We did not have any SOFR-based borrowings outstanding at 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04"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June 30, 2023. The arrangement is scheduled to settle in 2026.</w:t>
      </w:r>
    </w:p>
    <w:p>
      <w:pPr>
        <w:spacing w:after="0" w:line="131" w:lineRule="exact"/>
        <w:rPr>
          <w:sz w:val="20"/>
          <w:szCs w:val="20"/>
          <w:color w:val="auto"/>
        </w:rPr>
      </w:pPr>
    </w:p>
    <w:p>
      <w:pPr>
        <w:ind w:right="740" w:firstLine="405"/>
        <w:spacing w:after="0" w:line="263" w:lineRule="auto"/>
        <w:rPr>
          <w:sz w:val="20"/>
          <w:szCs w:val="20"/>
          <w:color w:val="auto"/>
        </w:rPr>
      </w:pPr>
      <w:r>
        <w:rPr>
          <w:rFonts w:ascii="Arial" w:cs="Arial" w:eastAsia="Arial" w:hAnsi="Arial"/>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2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The 2022 Form 10-K, filed on February 22, 2023, contained a description of various legal proceedings in which we are involved. See Note 14 to the unaudited consolidated financial statements within this Quarterly Report on Form 10-Q for an updated description of certain of those proceedings, which information is incorporated by reference herein.</w:t>
      </w:r>
    </w:p>
    <w:p>
      <w:pPr>
        <w:spacing w:after="0" w:line="13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June 30, 2023), please see the 2022 Form 10-K and Note 14 to the unaudited consolidated financial statements within this Quarterly Report on Form 10-Q.</w:t>
      </w:r>
    </w:p>
    <w:p>
      <w:pPr>
        <w:spacing w:after="0" w:line="12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For a discussion of risk factors, please read Item 1A, "Risk Factors" in the 2022 Form 10-K. The risks described in the report and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on our purchases of our common stock during the quarter ended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7"/>
              </w:rPr>
              <w:t>Total Number</w:t>
            </w:r>
          </w:p>
        </w:tc>
        <w:tc>
          <w:tcPr>
            <w:tcW w:w="160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jc w:val="center"/>
              <w:ind w:right="103"/>
              <w:spacing w:after="0" w:line="145"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tcPr>
          <w:p>
            <w:pPr>
              <w:jc w:val="center"/>
              <w:ind w:right="190"/>
              <w:spacing w:after="0" w:line="139" w:lineRule="exact"/>
              <w:rPr>
                <w:sz w:val="20"/>
                <w:szCs w:val="20"/>
                <w:color w:val="auto"/>
              </w:rPr>
            </w:pPr>
            <w:r>
              <w:rPr>
                <w:rFonts w:ascii="Arial" w:cs="Arial" w:eastAsia="Arial" w:hAnsi="Arial"/>
                <w:sz w:val="14"/>
                <w:szCs w:val="14"/>
                <w:b w:val="1"/>
                <w:bCs w:val="1"/>
                <w:color w:val="auto"/>
                <w:w w:val="87"/>
              </w:rPr>
              <w:t>of Shares</w:t>
            </w:r>
          </w:p>
        </w:tc>
        <w:tc>
          <w:tcPr>
            <w:tcW w:w="16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2"/>
              </w:rPr>
              <w:t>Average Price</w:t>
            </w:r>
          </w:p>
        </w:tc>
        <w:tc>
          <w:tcPr>
            <w:tcW w:w="100" w:type="dxa"/>
            <w:vAlign w:val="bottom"/>
          </w:tcPr>
          <w:p>
            <w:pPr>
              <w:spacing w:after="0"/>
              <w:rPr>
                <w:sz w:val="12"/>
                <w:szCs w:val="12"/>
                <w:color w:val="auto"/>
              </w:rPr>
            </w:pPr>
          </w:p>
        </w:tc>
        <w:tc>
          <w:tcPr>
            <w:tcW w:w="204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6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3"/>
          </w:tcPr>
          <w:p>
            <w:pPr>
              <w:jc w:val="center"/>
              <w:ind w:right="210"/>
              <w:spacing w:after="0" w:line="145" w:lineRule="exact"/>
              <w:rPr>
                <w:sz w:val="20"/>
                <w:szCs w:val="20"/>
                <w:color w:val="auto"/>
              </w:rPr>
            </w:pPr>
            <w:r>
              <w:rPr>
                <w:rFonts w:ascii="Arial" w:cs="Arial" w:eastAsia="Arial" w:hAnsi="Arial"/>
                <w:sz w:val="14"/>
                <w:szCs w:val="14"/>
                <w:b w:val="1"/>
                <w:bCs w:val="1"/>
                <w:color w:val="auto"/>
                <w:w w:val="93"/>
              </w:rPr>
              <w:t>of Publicly</w:t>
            </w:r>
          </w:p>
        </w:tc>
        <w:tc>
          <w:tcPr>
            <w:tcW w:w="1600" w:type="dxa"/>
            <w:vAlign w:val="bottom"/>
          </w:tcPr>
          <w:p>
            <w:pPr>
              <w:jc w:val="center"/>
              <w:ind w:right="103"/>
              <w:spacing w:after="0" w:line="145"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36"/>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1"/>
                <w:szCs w:val="11"/>
                <w:color w:val="auto"/>
              </w:rPr>
            </w:pPr>
          </w:p>
        </w:tc>
        <w:tc>
          <w:tcPr>
            <w:tcW w:w="17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jc w:val="center"/>
              <w:ind w:right="198"/>
              <w:spacing w:after="0" w:line="136" w:lineRule="exact"/>
              <w:rPr>
                <w:sz w:val="20"/>
                <w:szCs w:val="20"/>
                <w:color w:val="auto"/>
              </w:rPr>
            </w:pPr>
            <w:r>
              <w:rPr>
                <w:rFonts w:ascii="Arial" w:cs="Arial" w:eastAsia="Arial" w:hAnsi="Arial"/>
                <w:sz w:val="14"/>
                <w:szCs w:val="14"/>
                <w:b w:val="1"/>
                <w:bCs w:val="1"/>
                <w:color w:val="auto"/>
                <w:w w:val="96"/>
              </w:rPr>
              <w:t>Paid Per</w:t>
            </w:r>
          </w:p>
        </w:tc>
        <w:tc>
          <w:tcPr>
            <w:tcW w:w="100" w:type="dxa"/>
            <w:vAlign w:val="bottom"/>
          </w:tcPr>
          <w:p>
            <w:pPr>
              <w:spacing w:after="0"/>
              <w:rPr>
                <w:sz w:val="11"/>
                <w:szCs w:val="11"/>
                <w:color w:val="auto"/>
              </w:rPr>
            </w:pPr>
          </w:p>
        </w:tc>
        <w:tc>
          <w:tcPr>
            <w:tcW w:w="2040" w:type="dxa"/>
            <w:vAlign w:val="bottom"/>
            <w:gridSpan w:val="3"/>
          </w:tcPr>
          <w:p>
            <w:pPr>
              <w:jc w:val="center"/>
              <w:ind w:right="190"/>
              <w:spacing w:after="0" w:line="136" w:lineRule="exact"/>
              <w:rPr>
                <w:sz w:val="20"/>
                <w:szCs w:val="20"/>
                <w:color w:val="auto"/>
              </w:rPr>
            </w:pPr>
            <w:r>
              <w:rPr>
                <w:rFonts w:ascii="Arial" w:cs="Arial" w:eastAsia="Arial" w:hAnsi="Arial"/>
                <w:sz w:val="14"/>
                <w:szCs w:val="14"/>
                <w:b w:val="1"/>
                <w:bCs w:val="1"/>
                <w:color w:val="auto"/>
                <w:w w:val="91"/>
              </w:rPr>
              <w:t>Announced Plans</w:t>
            </w:r>
          </w:p>
        </w:tc>
        <w:tc>
          <w:tcPr>
            <w:tcW w:w="1600" w:type="dxa"/>
            <w:vAlign w:val="bottom"/>
          </w:tcPr>
          <w:p>
            <w:pPr>
              <w:jc w:val="center"/>
              <w:ind w:right="103"/>
              <w:spacing w:after="0" w:line="136"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15"/>
        </w:trPr>
        <w:tc>
          <w:tcPr>
            <w:tcW w:w="3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 xml:space="preserve">Purchased </w:t>
            </w:r>
            <w:r>
              <w:rPr>
                <w:rFonts w:ascii="Arial" w:cs="Arial" w:eastAsia="Arial" w:hAnsi="Arial"/>
                <w:sz w:val="18"/>
                <w:szCs w:val="18"/>
                <w:b w:val="1"/>
                <w:bCs w:val="1"/>
                <w:color w:val="auto"/>
                <w:w w:val="86"/>
                <w:vertAlign w:val="superscript"/>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(2)</w:t>
            </w:r>
          </w:p>
        </w:tc>
        <w:tc>
          <w:tcPr>
            <w:tcW w:w="16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 xml:space="preserve">Plans or Programs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477,162,187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May 2023</w:t>
            </w: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9,552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3"/>
              <w:spacing w:after="0"/>
              <w:rPr>
                <w:sz w:val="20"/>
                <w:szCs w:val="20"/>
                <w:color w:val="auto"/>
              </w:rPr>
            </w:pPr>
            <w:r>
              <w:rPr>
                <w:rFonts w:ascii="Arial" w:cs="Arial" w:eastAsia="Arial" w:hAnsi="Arial"/>
                <w:sz w:val="18"/>
                <w:szCs w:val="18"/>
                <w:color w:val="auto"/>
              </w:rPr>
              <w:t>476,162,427</w:t>
            </w: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476,162,427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6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9,733</w:t>
            </w:r>
          </w:p>
        </w:tc>
        <w:tc>
          <w:tcPr>
            <w:tcW w:w="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104.86</w:t>
            </w: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04" w:lineRule="exact"/>
        <w:rPr>
          <w:sz w:val="20"/>
          <w:szCs w:val="20"/>
          <w:color w:val="auto"/>
        </w:rPr>
      </w:pPr>
    </w:p>
    <w:p>
      <w:pPr>
        <w:ind w:left="460" w:right="60" w:hanging="412"/>
        <w:spacing w:after="0" w:line="277"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91, 0 and 90 shares withheld in April 2023, May 2023 and June 2023, respectively, in satisfaction of withholding taxes due upon the vesting of restricted stock units granted to our employees under the 2013 Omnibus Incentive Plan.</w:t>
      </w:r>
    </w:p>
    <w:p>
      <w:pPr>
        <w:spacing w:after="0" w:line="8" w:lineRule="exact"/>
        <w:rPr>
          <w:rFonts w:ascii="Arial" w:cs="Arial" w:eastAsia="Arial" w:hAnsi="Arial"/>
          <w:sz w:val="18"/>
          <w:szCs w:val="18"/>
          <w:color w:val="auto"/>
        </w:rPr>
      </w:pPr>
    </w:p>
    <w:p>
      <w:pPr>
        <w:ind w:left="460" w:right="20" w:hanging="412"/>
        <w:spacing w:after="0" w:line="254" w:lineRule="auto"/>
        <w:tabs>
          <w:tab w:leader="none" w:pos="4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June 30, 2023, 8,722,550 shares of our common stock had been acquired at an aggregate purchase price of approximately $574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i w:val="1"/>
          <w:iCs w:val="1"/>
          <w:color w:val="auto"/>
        </w:rPr>
        <w:t xml:space="preserve">Rule 10b5-1 Trading Arrangements. </w:t>
      </w:r>
      <w:r>
        <w:rPr>
          <w:rFonts w:ascii="Arial" w:cs="Arial" w:eastAsia="Arial" w:hAnsi="Arial"/>
          <w:sz w:val="16"/>
          <w:szCs w:val="16"/>
          <w:color w:val="auto"/>
        </w:rPr>
        <w:t>During the three months ended June 30, 2023, no director or officer of the Company adopted or terminated a</w:t>
      </w:r>
      <w:r>
        <w:rPr>
          <w:rFonts w:ascii="Arial" w:cs="Arial" w:eastAsia="Arial" w:hAnsi="Arial"/>
          <w:sz w:val="16"/>
          <w:szCs w:val="16"/>
          <w:i w:val="1"/>
          <w:iCs w:val="1"/>
          <w:color w:val="auto"/>
        </w:rPr>
        <w:t xml:space="preserve"> </w:t>
      </w:r>
      <w:r>
        <w:rPr>
          <w:rFonts w:ascii="Arial" w:cs="Arial" w:eastAsia="Arial" w:hAnsi="Arial"/>
          <w:sz w:val="16"/>
          <w:szCs w:val="16"/>
          <w:color w:val="auto"/>
        </w:rPr>
        <w:t>“Rule 10b5-1 trading arrangement” or “non-Rule 10b5-1 trading arrangement,” as each term is defined in Item 408 of Regulation S-K.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0" w:type="dxa"/>
            <w:vAlign w:val="bottom"/>
            <w:gridSpan w:val="18"/>
          </w:tcPr>
          <w:p>
            <w:pPr>
              <w:ind w:left="240"/>
              <w:spacing w:after="0"/>
              <w:rPr>
                <w:sz w:val="20"/>
                <w:szCs w:val="20"/>
                <w:color w:val="auto"/>
              </w:rPr>
            </w:pPr>
            <w:r>
              <w:rPr>
                <w:rFonts w:ascii="Arial" w:cs="Arial" w:eastAsia="Arial" w:hAnsi="Arial"/>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Amended and Restated Certificate of Incorporation of Westlake as filed with the Delaware Secretary of</w:t>
              </w:r>
            </w:hyperlink>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520" w:type="dxa"/>
            <w:vAlign w:val="bottom"/>
            <w:tcBorders>
              <w:bottom w:val="single" w:sz="8" w:color="0000FF"/>
            </w:tcBorders>
            <w:gridSpan w:val="20"/>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State on August 6, 2004 (incorporated by reference to Westlake's Registration Statement on Form S-1/A,</w:t>
              </w:r>
            </w:hyperlink>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Borders>
              <w:bottom w:val="single" w:sz="8" w:color="0000FF"/>
            </w:tcBorders>
          </w:tcPr>
          <w:p>
            <w:pPr>
              <w:spacing w:after="0" w:line="16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filed on August 9, 2004).</w:t>
              </w:r>
            </w:hyperlink>
          </w:p>
        </w:tc>
        <w:tc>
          <w:tcPr>
            <w:tcW w:w="5720" w:type="dxa"/>
            <w:vAlign w:val="bottom"/>
            <w:gridSpan w:val="19"/>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7520" w:type="dxa"/>
            <w:vAlign w:val="bottom"/>
            <w:gridSpan w:val="20"/>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Certificate of Amendment to the Amended and Restated Certificate of Incorporation of Westlake as filed</w:t>
              </w:r>
            </w:hyperlink>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00" w:type="dxa"/>
            <w:vAlign w:val="bottom"/>
            <w:tcBorders>
              <w:top w:val="single" w:sz="8" w:color="0000FF"/>
            </w:tcBorders>
            <w:gridSpan w:val="19"/>
          </w:tcPr>
          <w:p>
            <w:pPr>
              <w:spacing w:after="0" w:line="182"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with the Delaware Secretary of State on May 16, 2014 (incorporated by reference to Westlake's Current</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Report on Form 8-K, filed on May 16, 2014, File No. 001-32260).</w:t>
              </w:r>
            </w:hyperlink>
          </w:p>
        </w:tc>
        <w:tc>
          <w:tcPr>
            <w:tcW w:w="60" w:type="dxa"/>
            <w:vAlign w:val="bottom"/>
            <w:gridSpan w:val="2"/>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Certificate of Amendment to the Amended and Restated Certificate of Incorporation of Westlake as filed</w:t>
              </w:r>
            </w:hyperlink>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00" w:type="dxa"/>
            <w:vAlign w:val="bottom"/>
            <w:tcBorders>
              <w:top w:val="single" w:sz="8" w:color="0000FF"/>
            </w:tcBorders>
            <w:gridSpan w:val="19"/>
          </w:tcPr>
          <w:p>
            <w:pPr>
              <w:spacing w:after="0" w:line="182"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with the Delaware Secretary of State on May 19, 2017 (incorporated by reference to Westlake's Current</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Report on Form 8-K, filed on May 19, 2017, File No. 001-32260).</w:t>
              </w:r>
            </w:hyperlink>
          </w:p>
        </w:tc>
        <w:tc>
          <w:tcPr>
            <w:tcW w:w="60" w:type="dxa"/>
            <w:vAlign w:val="bottom"/>
            <w:gridSpan w:val="2"/>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Certificate of Amendment to the Amended and Restated Certificate of Incorporation of Westlake as filed</w:t>
              </w:r>
            </w:hyperlink>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00" w:type="dxa"/>
            <w:vAlign w:val="bottom"/>
            <w:tcBorders>
              <w:top w:val="single" w:sz="8" w:color="0000FF"/>
            </w:tcBorders>
            <w:gridSpan w:val="19"/>
          </w:tcPr>
          <w:p>
            <w:pPr>
              <w:spacing w:after="0" w:line="182"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with the Delaware Secretary of State on May 14, 2021 (incorporated by reference to Westlake's Current</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Report on Form 8-K, filed on May 13, 2021, File No. 001-32260).</w:t>
              </w:r>
            </w:hyperlink>
          </w:p>
        </w:tc>
        <w:tc>
          <w:tcPr>
            <w:tcW w:w="60" w:type="dxa"/>
            <w:vAlign w:val="bottom"/>
            <w:gridSpan w:val="2"/>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Certificate of Amendment to the Amended and Restated Certificate of Incorporation of Westlake as filed</w:t>
              </w:r>
            </w:hyperlink>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00" w:type="dxa"/>
            <w:vAlign w:val="bottom"/>
            <w:tcBorders>
              <w:top w:val="single" w:sz="8" w:color="0000FF"/>
            </w:tcBorders>
            <w:gridSpan w:val="19"/>
          </w:tcPr>
          <w:p>
            <w:pPr>
              <w:spacing w:after="0" w:line="182"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with the Delaware Secretary of State on February 18, 2022 (incorporated by reference to Westlake's</w:t>
              </w:r>
            </w:hyperlink>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1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Current Report on Form 8-K, filed on February 18, 2022, File No. 001-32260).</w:t>
              </w:r>
            </w:hyperlink>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Certificate of Amendment to the Amended and Restated Certificate of Incorporation of Westlake as filed</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50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with the Delaware Secretary of State on May 11, 2023 (incorporated by reference to Westlake's Current</w:t>
              </w:r>
            </w:hyperlink>
          </w:p>
        </w:tc>
        <w:tc>
          <w:tcPr>
            <w:tcW w:w="2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Report on Form 8-K, filed on May 16, 2023, File No. 001-32260).</w:t>
              </w:r>
            </w:hyperlink>
          </w:p>
        </w:tc>
        <w:tc>
          <w:tcPr>
            <w:tcW w:w="2660" w:type="dxa"/>
            <w:vAlign w:val="bottom"/>
            <w:tcBorders>
              <w:top w:val="single" w:sz="8" w:color="0000FF"/>
            </w:tcBorders>
            <w:gridSpan w:val="10"/>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2"/>
                <w:szCs w:val="22"/>
                <w:color w:val="auto"/>
              </w:rPr>
            </w:pPr>
          </w:p>
        </w:tc>
        <w:tc>
          <w:tcPr>
            <w:tcW w:w="7520" w:type="dxa"/>
            <w:vAlign w:val="bottom"/>
            <w:gridSpan w:val="20"/>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Amended and Restated Bylaws of Westlake (incorporated by reference to Westlake's Current Report on</w:t>
              </w:r>
            </w:hyperlink>
          </w:p>
        </w:tc>
      </w:tr>
      <w:tr>
        <w:trPr>
          <w:trHeight w:val="183"/>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Form 8-K, filed on February 18, 2022, File No. 001-32260).</w:t>
              </w:r>
            </w:hyperlink>
          </w:p>
        </w:tc>
        <w:tc>
          <w:tcPr>
            <w:tcW w:w="100" w:type="dxa"/>
            <w:vAlign w:val="bottom"/>
            <w:gridSpan w:val="4"/>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90"/>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7520" w:type="dxa"/>
            <w:vAlign w:val="bottom"/>
            <w:gridSpan w:val="20"/>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Westlake Corporation 2013 Omnibus Incentive Plan (as amended and restated effective May 11, 2023)</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2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(incorporated by reference to Appendix B to Westlake's Definitive Proxy Statement on Schedule 14A</w:t>
              </w:r>
            </w:hyperlink>
          </w:p>
        </w:tc>
        <w:tc>
          <w:tcPr>
            <w:tcW w:w="100" w:type="dxa"/>
            <w:vAlign w:val="bottom"/>
            <w:gridSpan w:val="4"/>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8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filed on March 31, 2023, File No.1-32260).</w:t>
              </w:r>
            </w:hyperlink>
          </w:p>
        </w:tc>
        <w:tc>
          <w:tcPr>
            <w:tcW w:w="240" w:type="dxa"/>
            <w:vAlign w:val="bottom"/>
            <w:gridSpan w:val="5"/>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10.2†+</w:t>
            </w:r>
          </w:p>
        </w:tc>
        <w:tc>
          <w:tcPr>
            <w:tcW w:w="7520" w:type="dxa"/>
            <w:vAlign w:val="bottom"/>
            <w:gridSpan w:val="20"/>
          </w:tcPr>
          <w:p>
            <w:pPr>
              <w:spacing w:after="0"/>
              <w:rPr>
                <w:sz w:val="20"/>
                <w:szCs w:val="20"/>
                <w:color w:val="auto"/>
              </w:rPr>
            </w:pPr>
            <w:r>
              <w:rPr>
                <w:rFonts w:ascii="Arial" w:cs="Arial" w:eastAsia="Arial" w:hAnsi="Arial"/>
                <w:sz w:val="18"/>
                <w:szCs w:val="18"/>
                <w:color w:val="0000FF"/>
              </w:rPr>
              <w:t>Westlake Corporation Amended and Restated Annual Incentive Plan as of May 11, 2023.</w:t>
            </w: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10.3†+</w:t>
            </w:r>
          </w:p>
        </w:tc>
        <w:tc>
          <w:tcPr>
            <w:tcW w:w="63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Form of Restricted Stock Unit Award Letter for 2023 Executive Officer Awards.</w:t>
            </w:r>
          </w:p>
        </w:tc>
        <w:tc>
          <w:tcPr>
            <w:tcW w:w="1140" w:type="dxa"/>
            <w:vAlign w:val="bottom"/>
            <w:gridSpan w:val="7"/>
          </w:tcPr>
          <w:p>
            <w:pPr>
              <w:spacing w:after="0"/>
              <w:rPr>
                <w:sz w:val="22"/>
                <w:szCs w:val="22"/>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18"/>
                <w:szCs w:val="18"/>
                <w:color w:val="auto"/>
              </w:rPr>
              <w:t>31.1†</w:t>
            </w:r>
          </w:p>
        </w:tc>
        <w:tc>
          <w:tcPr>
            <w:tcW w:w="57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c>
          <w:tcPr>
            <w:tcW w:w="1760" w:type="dxa"/>
            <w:vAlign w:val="bottom"/>
            <w:gridSpan w:val="9"/>
          </w:tcPr>
          <w:p>
            <w:pPr>
              <w:spacing w:after="0"/>
              <w:rPr>
                <w:sz w:val="22"/>
                <w:szCs w:val="22"/>
                <w:color w:val="auto"/>
              </w:rPr>
            </w:pPr>
          </w:p>
        </w:tc>
      </w:tr>
      <w:tr>
        <w:trPr>
          <w:trHeight w:val="277"/>
        </w:trPr>
        <w:tc>
          <w:tcPr>
            <w:tcW w:w="1060" w:type="dxa"/>
            <w:vAlign w:val="bottom"/>
            <w:gridSpan w:val="2"/>
          </w:tcPr>
          <w:p>
            <w:pPr>
              <w:spacing w:after="0"/>
              <w:rPr>
                <w:sz w:val="20"/>
                <w:szCs w:val="20"/>
                <w:color w:val="auto"/>
              </w:rPr>
            </w:pPr>
            <w:r>
              <w:rPr>
                <w:rFonts w:ascii="Arial" w:cs="Arial" w:eastAsia="Arial" w:hAnsi="Arial"/>
                <w:sz w:val="18"/>
                <w:szCs w:val="18"/>
                <w:color w:val="auto"/>
              </w:rPr>
              <w:t>31.2†</w:t>
            </w:r>
          </w:p>
        </w:tc>
        <w:tc>
          <w:tcPr>
            <w:tcW w:w="52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Rule 13a – 14(a) / 15d – 14(a) Certification (Principal Financial Officer).</w:t>
            </w:r>
          </w:p>
        </w:tc>
        <w:tc>
          <w:tcPr>
            <w:tcW w:w="40" w:type="dxa"/>
            <w:vAlign w:val="bottom"/>
            <w:tcBorders>
              <w:top w:val="single" w:sz="8" w:color="0000FF"/>
            </w:tcBorders>
          </w:tcPr>
          <w:p>
            <w:pPr>
              <w:spacing w:after="0"/>
              <w:rPr>
                <w:sz w:val="24"/>
                <w:szCs w:val="24"/>
                <w:color w:val="auto"/>
              </w:rPr>
            </w:pPr>
          </w:p>
        </w:tc>
        <w:tc>
          <w:tcPr>
            <w:tcW w:w="2220" w:type="dxa"/>
            <w:vAlign w:val="bottom"/>
            <w:gridSpan w:val="11"/>
          </w:tcPr>
          <w:p>
            <w:pPr>
              <w:spacing w:after="0"/>
              <w:rPr>
                <w:sz w:val="24"/>
                <w:szCs w:val="24"/>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2"/>
                <w:szCs w:val="22"/>
                <w:color w:val="auto"/>
              </w:rPr>
            </w:pPr>
          </w:p>
        </w:tc>
        <w:tc>
          <w:tcPr>
            <w:tcW w:w="6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3"/>
              </w:rPr>
              <w:t>Section 1350 Certification (Principal Executive Officer and Principal Financial Officer).</w:t>
            </w:r>
          </w:p>
        </w:tc>
        <w:tc>
          <w:tcPr>
            <w:tcW w:w="1160" w:type="dxa"/>
            <w:vAlign w:val="bottom"/>
            <w:gridSpan w:val="8"/>
          </w:tcPr>
          <w:p>
            <w:pPr>
              <w:spacing w:after="0"/>
              <w:rPr>
                <w:sz w:val="22"/>
                <w:szCs w:val="22"/>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520" w:type="dxa"/>
            <w:vAlign w:val="bottom"/>
            <w:gridSpan w:val="20"/>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w:t>
            </w:r>
          </w:p>
        </w:tc>
      </w:tr>
      <w:tr>
        <w:trPr>
          <w:trHeight w:val="230"/>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20" w:type="dxa"/>
            <w:vAlign w:val="bottom"/>
            <w:gridSpan w:val="20"/>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284"/>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97"/>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5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67" w:lineRule="exact"/>
        <w:rPr>
          <w:sz w:val="20"/>
          <w:szCs w:val="20"/>
          <w:color w:val="auto"/>
        </w:rPr>
      </w:pPr>
    </w:p>
    <w:p>
      <w:pPr>
        <w:ind w:left="1080" w:right="1579" w:hanging="1054"/>
        <w:spacing w:after="0" w:line="22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5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63"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WESTLAKE CORPORATION</w:t>
      </w:r>
    </w:p>
    <w:p>
      <w:pPr>
        <w:spacing w:after="0" w:line="243" w:lineRule="exact"/>
        <w:rPr>
          <w:sz w:val="20"/>
          <w:szCs w:val="20"/>
          <w:color w:val="auto"/>
        </w:rPr>
      </w:pPr>
    </w:p>
    <w:p>
      <w:pPr>
        <w:ind w:left="20"/>
        <w:spacing w:after="0"/>
        <w:tabs>
          <w:tab w:leader="none" w:pos="640" w:val="left"/>
          <w:tab w:leader="none" w:pos="6340" w:val="left"/>
          <w:tab w:leader="none" w:pos="8360" w:val="left"/>
          <w:tab w:leader="none" w:pos="872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23495</wp:posOffset>
            </wp:positionV>
            <wp:extent cx="27260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(Principal Executive Officer)</w:t>
      </w:r>
    </w:p>
    <w:p>
      <w:pPr>
        <w:spacing w:after="0" w:line="304" w:lineRule="exact"/>
        <w:rPr>
          <w:sz w:val="20"/>
          <w:szCs w:val="20"/>
          <w:color w:val="auto"/>
        </w:rPr>
      </w:pPr>
    </w:p>
    <w:p>
      <w:pPr>
        <w:ind w:left="20"/>
        <w:spacing w:after="0"/>
        <w:tabs>
          <w:tab w:leader="none" w:pos="640" w:val="left"/>
          <w:tab w:leader="none" w:pos="6340" w:val="left"/>
          <w:tab w:leader="none" w:pos="8140" w:val="left"/>
          <w:tab w:leader="none" w:pos="85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27260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320" w:top="122" w:right="739" w:bottom="1440" w:gutter="0" w:footer="0" w:header="0"/>
        </w:sectPr>
      </w:pPr>
    </w:p>
    <w:bookmarkStart w:id="40" w:name="page41"/>
    <w:bookmarkEnd w:id="40"/>
    <w:p>
      <w:pPr>
        <w:ind w:left="10340"/>
        <w:spacing w:after="0"/>
        <w:rPr>
          <w:sz w:val="20"/>
          <w:szCs w:val="20"/>
          <w:color w:val="auto"/>
        </w:rPr>
      </w:pPr>
      <w:r>
        <w:rPr>
          <w:rFonts w:ascii="Arial" w:cs="Arial" w:eastAsia="Arial" w:hAnsi="Arial"/>
          <w:sz w:val="16"/>
          <w:szCs w:val="16"/>
          <w:b w:val="1"/>
          <w:bCs w:val="1"/>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WESTLAKE CORPORATION</w:t>
      </w:r>
    </w:p>
    <w:p>
      <w:pPr>
        <w:ind w:left="4200"/>
        <w:spacing w:after="0"/>
        <w:rPr>
          <w:sz w:val="20"/>
          <w:szCs w:val="20"/>
          <w:color w:val="auto"/>
        </w:rPr>
      </w:pPr>
      <w:r>
        <w:rPr>
          <w:rFonts w:ascii="Arial" w:cs="Arial" w:eastAsia="Arial" w:hAnsi="Arial"/>
          <w:sz w:val="22"/>
          <w:szCs w:val="22"/>
          <w:b w:val="1"/>
          <w:bCs w:val="1"/>
          <w:color w:val="auto"/>
        </w:rPr>
        <w:t>ANNUAL INCENTIVE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May 11, 2023</w:t>
      </w:r>
    </w:p>
    <w:p>
      <w:pPr>
        <w:spacing w:after="0" w:line="185" w:lineRule="exact"/>
        <w:rPr>
          <w:sz w:val="20"/>
          <w:szCs w:val="20"/>
          <w:color w:val="auto"/>
        </w:rPr>
      </w:pPr>
    </w:p>
    <w:p>
      <w:pPr>
        <w:jc w:val="both"/>
        <w:ind w:left="340" w:hanging="332"/>
        <w:spacing w:after="0" w:line="214" w:lineRule="auto"/>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Objective</w:t>
      </w:r>
      <w:r>
        <w:rPr>
          <w:rFonts w:ascii="Arial" w:cs="Arial" w:eastAsia="Arial" w:hAnsi="Arial"/>
          <w:sz w:val="22"/>
          <w:szCs w:val="22"/>
          <w:color w:val="auto"/>
        </w:rPr>
        <w:t>. The Westlake Corporation Annual Incentive Plan (the “Plan”) is designed to reward and recognize selected</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of Westlake Corporation (the “Company”) and its Subsidiaries for their contributions toward building growth and adding to the value of the Company. These objectives are to be accomplished by making Awards under the Plan and thereby providing Participants with a financial interest in the overall performance and growth of the Company. The Plan was originally effective January 1, 2009, was amended and restated as of March 31, 2011 and is hereby amended and restated as of May 11, 2023 and effective as of January 1, 2023.</w:t>
      </w:r>
    </w:p>
    <w:p>
      <w:pPr>
        <w:spacing w:after="0" w:line="185" w:lineRule="exact"/>
        <w:rPr>
          <w:rFonts w:ascii="Arial" w:cs="Arial" w:eastAsia="Arial" w:hAnsi="Arial"/>
          <w:sz w:val="22"/>
          <w:szCs w:val="22"/>
          <w:color w:val="auto"/>
        </w:rPr>
      </w:pPr>
    </w:p>
    <w:p>
      <w:pPr>
        <w:ind w:left="340" w:hanging="332"/>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 As used herein, the terms set forth below shall have the following respective meanings:</w:t>
      </w:r>
    </w:p>
    <w:p>
      <w:pPr>
        <w:spacing w:after="0" w:line="179" w:lineRule="exact"/>
        <w:rPr>
          <w:sz w:val="20"/>
          <w:szCs w:val="20"/>
          <w:color w:val="auto"/>
        </w:rPr>
      </w:pPr>
    </w:p>
    <w:p>
      <w:pPr>
        <w:jc w:val="both"/>
        <w:ind w:left="340" w:firstLine="972"/>
        <w:spacing w:after="0" w:line="216" w:lineRule="auto"/>
        <w:rPr>
          <w:sz w:val="20"/>
          <w:szCs w:val="20"/>
          <w:color w:val="auto"/>
        </w:rPr>
      </w:pPr>
      <w:r>
        <w:rPr>
          <w:rFonts w:ascii="Arial" w:cs="Arial" w:eastAsia="Arial" w:hAnsi="Arial"/>
          <w:sz w:val="22"/>
          <w:szCs w:val="22"/>
          <w:color w:val="auto"/>
        </w:rPr>
        <w:t>“Administrator” means (i) the Committee with respect to Awards to Employees who are executive officers and (ii) the Company’s Chief Executive Officer and other executive officers designated by the Company’s Chief Executive Officer with respect to Awards to Employees who are not executive officers. The Committee may delegate to an executive officer its administrative duties under this Plan (excluding its granting authority to executive officers) pursuant to such conditions or limitations as the Committee may establish.</w:t>
      </w:r>
    </w:p>
    <w:p>
      <w:pPr>
        <w:spacing w:after="0" w:line="158" w:lineRule="exact"/>
        <w:rPr>
          <w:sz w:val="20"/>
          <w:szCs w:val="20"/>
          <w:color w:val="auto"/>
        </w:rPr>
      </w:pPr>
    </w:p>
    <w:p>
      <w:pPr>
        <w:jc w:val="both"/>
        <w:ind w:left="340" w:firstLine="972"/>
        <w:spacing w:after="0" w:line="232" w:lineRule="auto"/>
        <w:rPr>
          <w:sz w:val="20"/>
          <w:szCs w:val="20"/>
          <w:color w:val="auto"/>
        </w:rPr>
      </w:pPr>
      <w:r>
        <w:rPr>
          <w:rFonts w:ascii="Arial" w:cs="Arial" w:eastAsia="Arial" w:hAnsi="Arial"/>
          <w:sz w:val="22"/>
          <w:szCs w:val="22"/>
          <w:color w:val="auto"/>
        </w:rPr>
        <w:t>“Affiliate” means a corporation or other entity that, directly or through one or more intermediaries, controls, is controlled by or is under common control with, the Company.</w:t>
      </w:r>
    </w:p>
    <w:p>
      <w:pPr>
        <w:spacing w:after="0" w:line="159" w:lineRule="exact"/>
        <w:rPr>
          <w:sz w:val="20"/>
          <w:szCs w:val="20"/>
          <w:color w:val="auto"/>
        </w:rPr>
      </w:pPr>
    </w:p>
    <w:p>
      <w:pPr>
        <w:jc w:val="both"/>
        <w:ind w:left="340" w:firstLine="972"/>
        <w:spacing w:after="0" w:line="223" w:lineRule="auto"/>
        <w:rPr>
          <w:sz w:val="20"/>
          <w:szCs w:val="20"/>
          <w:color w:val="auto"/>
        </w:rPr>
      </w:pPr>
      <w:r>
        <w:rPr>
          <w:rFonts w:ascii="Arial" w:cs="Arial" w:eastAsia="Arial" w:hAnsi="Arial"/>
          <w:sz w:val="22"/>
          <w:szCs w:val="22"/>
          <w:color w:val="auto"/>
        </w:rPr>
        <w:t>“Award” means a performance award that is payable in cash and granted to a Participant subject to achievement of Performance Goals and any applicable terms, conditions and limitations as the Administrator may establish in order to fulfill the objectives of the Plan.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“Board” means the Board of Directors of the Company.</w:t>
      </w:r>
    </w:p>
    <w:p>
      <w:pPr>
        <w:spacing w:after="0" w:line="179" w:lineRule="exact"/>
        <w:rPr>
          <w:sz w:val="20"/>
          <w:szCs w:val="20"/>
          <w:color w:val="auto"/>
        </w:rPr>
      </w:pPr>
    </w:p>
    <w:p>
      <w:pPr>
        <w:jc w:val="both"/>
        <w:ind w:left="340" w:firstLine="972"/>
        <w:spacing w:after="0" w:line="214" w:lineRule="auto"/>
        <w:rPr>
          <w:sz w:val="20"/>
          <w:szCs w:val="20"/>
          <w:color w:val="auto"/>
        </w:rPr>
      </w:pPr>
      <w:r>
        <w:rPr>
          <w:rFonts w:ascii="Arial" w:cs="Arial" w:eastAsia="Arial" w:hAnsi="Arial"/>
          <w:sz w:val="22"/>
          <w:szCs w:val="22"/>
          <w:color w:val="auto"/>
        </w:rPr>
        <w:t>“Base Pay” means a Participant’s annual base salary as of the applicable date of determination. A Participant’s Base Pay shall be determined on the last day of the Performance Period; provided, however, that if Section 5(d) hereof applies due to termination of a Participant’s Employment prior to the last day of the Performance Period, a Participant’s Base Pay shall be determined as of the applicable date of termination; provided further that if Section 6(a) hereof applies in the event of a Change in Control, a Participant’s Base Pay shall be determined as of the date immediately preceding the Change in Control.</w:t>
      </w:r>
    </w:p>
    <w:p>
      <w:pPr>
        <w:spacing w:after="0" w:line="159" w:lineRule="exact"/>
        <w:rPr>
          <w:sz w:val="20"/>
          <w:szCs w:val="20"/>
          <w:color w:val="auto"/>
        </w:rPr>
      </w:pPr>
    </w:p>
    <w:p>
      <w:pPr>
        <w:jc w:val="both"/>
        <w:ind w:left="340" w:firstLine="972"/>
        <w:spacing w:after="0" w:line="216" w:lineRule="auto"/>
        <w:rPr>
          <w:sz w:val="20"/>
          <w:szCs w:val="20"/>
          <w:color w:val="auto"/>
        </w:rPr>
      </w:pPr>
      <w:r>
        <w:rPr>
          <w:rFonts w:ascii="Arial" w:cs="Arial" w:eastAsia="Arial" w:hAnsi="Arial"/>
          <w:sz w:val="22"/>
          <w:szCs w:val="22"/>
          <w:color w:val="auto"/>
        </w:rPr>
        <w:t>“Beneficial Owner”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“Cause” means any of the following, unless otherwise defined for purposes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2" w:right="339" w:bottom="1440" w:gutter="0" w:footer="0" w:header="0"/>
        </w:sectPr>
      </w:pPr>
    </w:p>
    <w:bookmarkStart w:id="41" w:name="page42"/>
    <w:bookmarkEnd w:id="41"/>
    <w:p>
      <w:pPr>
        <w:ind w:left="1380" w:hanging="319"/>
        <w:spacing w:after="0"/>
        <w:tabs>
          <w:tab w:leader="none" w:pos="1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Conviction by a court of competent jurisdiction of any felony or a crime involving moral turpitude;</w:t>
      </w:r>
    </w:p>
    <w:p>
      <w:pPr>
        <w:spacing w:after="0" w:line="179" w:lineRule="exact"/>
        <w:rPr>
          <w:rFonts w:ascii="Arial" w:cs="Arial" w:eastAsia="Arial" w:hAnsi="Arial"/>
          <w:sz w:val="22"/>
          <w:szCs w:val="22"/>
          <w:color w:val="auto"/>
        </w:rPr>
      </w:pPr>
    </w:p>
    <w:p>
      <w:pPr>
        <w:ind w:left="1380" w:hanging="319"/>
        <w:spacing w:after="0" w:line="232" w:lineRule="auto"/>
        <w:tabs>
          <w:tab w:leader="none" w:pos="1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Knowing failure or refusal to follow reasonable instructions given on behalf of the Company or reasonable policies, standards and regulations of the Company or any Subsidiary;</w:t>
      </w:r>
    </w:p>
    <w:p>
      <w:pPr>
        <w:spacing w:after="0" w:line="158" w:lineRule="exact"/>
        <w:rPr>
          <w:rFonts w:ascii="Arial" w:cs="Arial" w:eastAsia="Arial" w:hAnsi="Arial"/>
          <w:sz w:val="22"/>
          <w:szCs w:val="22"/>
          <w:color w:val="auto"/>
        </w:rPr>
      </w:pPr>
    </w:p>
    <w:p>
      <w:pPr>
        <w:ind w:left="1380" w:hanging="319"/>
        <w:spacing w:after="0" w:line="232" w:lineRule="auto"/>
        <w:tabs>
          <w:tab w:leader="none" w:pos="1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Continued failure or refusal to faithfully and diligently perform the usual, customary duties of employment or service with the Company or any Subsidiary;</w:t>
      </w:r>
    </w:p>
    <w:p>
      <w:pPr>
        <w:spacing w:after="0" w:line="158" w:lineRule="exact"/>
        <w:rPr>
          <w:rFonts w:ascii="Arial" w:cs="Arial" w:eastAsia="Arial" w:hAnsi="Arial"/>
          <w:sz w:val="22"/>
          <w:szCs w:val="22"/>
          <w:color w:val="auto"/>
        </w:rPr>
      </w:pPr>
    </w:p>
    <w:p>
      <w:pPr>
        <w:ind w:left="1380" w:hanging="319"/>
        <w:spacing w:after="0"/>
        <w:tabs>
          <w:tab w:leader="none" w:pos="1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Continuously conducting oneself in an unprofessional, unethical or immoral manner; or</w:t>
      </w:r>
    </w:p>
    <w:p>
      <w:pPr>
        <w:spacing w:after="0" w:line="179" w:lineRule="exact"/>
        <w:rPr>
          <w:rFonts w:ascii="Arial" w:cs="Arial" w:eastAsia="Arial" w:hAnsi="Arial"/>
          <w:sz w:val="22"/>
          <w:szCs w:val="22"/>
          <w:color w:val="auto"/>
        </w:rPr>
      </w:pPr>
    </w:p>
    <w:p>
      <w:pPr>
        <w:ind w:left="1380" w:hanging="319"/>
        <w:spacing w:after="0" w:line="232" w:lineRule="auto"/>
        <w:tabs>
          <w:tab w:leader="none" w:pos="1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fraudulent conduct or conduct which discredits the Company or any Subsidiary or is detrimental to the reputation, character and standing of the Company or any Subsidiary.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“Change in Control” means the occurrence of any of the following events:</w:t>
      </w:r>
    </w:p>
    <w:p>
      <w:pPr>
        <w:spacing w:after="0" w:line="179" w:lineRule="exact"/>
        <w:rPr>
          <w:sz w:val="20"/>
          <w:szCs w:val="20"/>
          <w:color w:val="auto"/>
        </w:rPr>
      </w:pPr>
    </w:p>
    <w:p>
      <w:pPr>
        <w:jc w:val="both"/>
        <w:ind w:left="1380" w:hanging="319"/>
        <w:spacing w:after="0" w:line="268" w:lineRule="auto"/>
        <w:tabs>
          <w:tab w:leader="none" w:pos="13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32" w:lineRule="exact"/>
        <w:rPr>
          <w:rFonts w:ascii="Arial" w:cs="Arial" w:eastAsia="Arial" w:hAnsi="Arial"/>
          <w:sz w:val="19"/>
          <w:szCs w:val="19"/>
          <w:color w:val="auto"/>
        </w:rPr>
      </w:pPr>
    </w:p>
    <w:p>
      <w:pPr>
        <w:ind w:left="1380" w:hanging="319"/>
        <w:spacing w:after="0"/>
        <w:tabs>
          <w:tab w:leader="none" w:pos="13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Incumbent Directors cease for any reason to constitute at least a majority of the Board;</w:t>
      </w:r>
    </w:p>
    <w:p>
      <w:pPr>
        <w:spacing w:after="0" w:line="179" w:lineRule="exact"/>
        <w:rPr>
          <w:rFonts w:ascii="Arial" w:cs="Arial" w:eastAsia="Arial" w:hAnsi="Arial"/>
          <w:sz w:val="22"/>
          <w:szCs w:val="22"/>
          <w:color w:val="auto"/>
        </w:rPr>
      </w:pPr>
    </w:p>
    <w:p>
      <w:pPr>
        <w:ind w:left="1380" w:hanging="319"/>
        <w:spacing w:after="0"/>
        <w:tabs>
          <w:tab w:leader="none" w:pos="13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consummation of a complete liquidation or dissolution of the Company;</w:t>
      </w:r>
    </w:p>
    <w:p>
      <w:pPr>
        <w:spacing w:after="0" w:line="179" w:lineRule="exact"/>
        <w:rPr>
          <w:rFonts w:ascii="Arial" w:cs="Arial" w:eastAsia="Arial" w:hAnsi="Arial"/>
          <w:sz w:val="22"/>
          <w:szCs w:val="22"/>
          <w:color w:val="auto"/>
        </w:rPr>
      </w:pPr>
    </w:p>
    <w:p>
      <w:pPr>
        <w:jc w:val="both"/>
        <w:ind w:left="1380" w:hanging="319"/>
        <w:spacing w:after="0" w:line="242" w:lineRule="auto"/>
        <w:tabs>
          <w:tab w:leader="none" w:pos="13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9"/>
          <w:szCs w:val="19"/>
          <w:b w:val="1"/>
          <w:bCs w:val="1"/>
          <w:color w:val="auto"/>
        </w:rPr>
        <w:t>Outstanding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Common Stock</w:t>
      </w:r>
      <w:r>
        <w:rPr>
          <w:rFonts w:ascii="Arial" w:cs="Arial" w:eastAsia="Arial" w:hAnsi="Arial"/>
          <w:sz w:val="19"/>
          <w:szCs w:val="19"/>
          <w:color w:val="auto"/>
        </w:rPr>
        <w:t>”) or (ii) the combined voting power of the then outstanding voting securities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vote generally in the election of directors (the “</w:t>
      </w:r>
      <w:r>
        <w:rPr>
          <w:rFonts w:ascii="Arial" w:cs="Arial" w:eastAsia="Arial" w:hAnsi="Arial"/>
          <w:sz w:val="19"/>
          <w:szCs w:val="19"/>
          <w:b w:val="1"/>
          <w:bCs w:val="1"/>
          <w:color w:val="auto"/>
        </w:rPr>
        <w:t>Outstanding Company Voting Securities</w:t>
      </w:r>
      <w:r>
        <w:rPr>
          <w:rFonts w:ascii="Arial" w:cs="Arial" w:eastAsia="Arial" w:hAnsi="Arial"/>
          <w:sz w:val="19"/>
          <w:szCs w:val="19"/>
          <w:color w:val="auto"/>
        </w:rPr>
        <w:t>”); provided, however, that for purposes of this Plan, the following acquisitions shall not constitute a Change in Control: (A) any acquisition by the Company or any Affiliate, (B) any acquisition by any employee benefit plan sponsored or maintained by the Company or any Affiliate (or its related trust), (C) any acquisition by an underwriter temporarily holding securities pursuant to an offering of such securities (D) any acquisition by any entity pursuant to a transaction that meets the conditions of clauses (i), (ii) and (iii) set forth in subsection (e) of this definition or (E) any acquisition by a Permitted Holder; or</w:t>
      </w:r>
    </w:p>
    <w:p>
      <w:pPr>
        <w:spacing w:after="0" w:line="384" w:lineRule="exact"/>
        <w:rPr>
          <w:rFonts w:ascii="Arial" w:cs="Arial" w:eastAsia="Arial" w:hAnsi="Arial"/>
          <w:sz w:val="19"/>
          <w:szCs w:val="19"/>
          <w:color w:val="auto"/>
        </w:rPr>
      </w:pPr>
    </w:p>
    <w:p>
      <w:pPr>
        <w:jc w:val="both"/>
        <w:ind w:left="1380" w:hanging="319"/>
        <w:spacing w:after="0" w:line="216" w:lineRule="auto"/>
        <w:tabs>
          <w:tab w:leader="none" w:pos="13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22"/>
          <w:szCs w:val="22"/>
          <w:b w:val="1"/>
          <w:bCs w:val="1"/>
          <w:color w:val="auto"/>
        </w:rPr>
        <w:t>Business Combination</w:t>
      </w:r>
      <w:r>
        <w:rPr>
          <w:rFonts w:ascii="Arial" w:cs="Arial" w:eastAsia="Arial" w:hAnsi="Arial"/>
          <w:sz w:val="22"/>
          <w:szCs w:val="22"/>
          <w:color w:val="auto"/>
        </w:rPr>
        <w:t>”), unless immediately following such Business Combination: (i) more than 50% of the total voting power of (A) the entity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42" w:name="page43"/>
    <w:bookmarkEnd w:id="42"/>
    <w:p>
      <w:pPr>
        <w:jc w:val="both"/>
        <w:ind w:left="1380"/>
        <w:spacing w:after="0" w:line="241" w:lineRule="auto"/>
        <w:rPr>
          <w:sz w:val="20"/>
          <w:szCs w:val="20"/>
          <w:color w:val="auto"/>
        </w:rPr>
      </w:pPr>
      <w:r>
        <w:rPr>
          <w:rFonts w:ascii="Arial" w:cs="Arial" w:eastAsia="Arial" w:hAnsi="Arial"/>
          <w:sz w:val="19"/>
          <w:szCs w:val="19"/>
          <w:color w:val="auto"/>
        </w:rPr>
        <w:t>Business Combination (the “</w:t>
      </w:r>
      <w:r>
        <w:rPr>
          <w:rFonts w:ascii="Arial" w:cs="Arial" w:eastAsia="Arial" w:hAnsi="Arial"/>
          <w:sz w:val="19"/>
          <w:szCs w:val="19"/>
          <w:b w:val="1"/>
          <w:bCs w:val="1"/>
          <w:color w:val="auto"/>
        </w:rPr>
        <w:t>Surviving Company</w:t>
      </w:r>
      <w:r>
        <w:rPr>
          <w:rFonts w:ascii="Arial" w:cs="Arial" w:eastAsia="Arial" w:hAnsi="Arial"/>
          <w:sz w:val="19"/>
          <w:szCs w:val="19"/>
          <w:color w:val="auto"/>
        </w:rPr>
        <w:t xml:space="preserve"> ”),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9"/>
          <w:szCs w:val="19"/>
          <w:b w:val="1"/>
          <w:bCs w:val="1"/>
          <w:color w:val="auto"/>
        </w:rPr>
        <w:t>Parent Company</w:t>
      </w:r>
      <w:r>
        <w:rPr>
          <w:rFonts w:ascii="Arial" w:cs="Arial" w:eastAsia="Arial" w:hAnsi="Arial"/>
          <w:sz w:val="19"/>
          <w:szCs w:val="19"/>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“Change in Control Protection Period” means the twenty-four-month period following a Change in Control.</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“Code” means the Internal Revenue Code of 1986, as amended from time to time.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“Committee” means the Compensation Committee of the Board of Directors of the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means the common stock, par value $0.01 per share, of the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“Company” means Westlake Corporation, a Delaware corporation, or any successor thereto.</w:t>
      </w:r>
    </w:p>
    <w:p>
      <w:pPr>
        <w:spacing w:after="0" w:line="179" w:lineRule="exact"/>
        <w:rPr>
          <w:sz w:val="20"/>
          <w:szCs w:val="20"/>
          <w:color w:val="auto"/>
        </w:rPr>
      </w:pPr>
    </w:p>
    <w:p>
      <w:pPr>
        <w:ind w:left="340" w:firstLine="972"/>
        <w:spacing w:after="0" w:line="232" w:lineRule="auto"/>
        <w:rPr>
          <w:sz w:val="20"/>
          <w:szCs w:val="20"/>
          <w:color w:val="auto"/>
        </w:rPr>
      </w:pPr>
      <w:r>
        <w:rPr>
          <w:rFonts w:ascii="Arial" w:cs="Arial" w:eastAsia="Arial" w:hAnsi="Arial"/>
          <w:sz w:val="22"/>
          <w:szCs w:val="22"/>
          <w:color w:val="auto"/>
        </w:rPr>
        <w:t>“Director” means an individual who is a member of the Board that is not an Employee of the Company or any of its Subsidiaries.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“Employee” means an employee of the Company or any of its Subsidiaries.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“Employment” means employment with the Company or a Subsidiary.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“Exchange Act” means the Securities Exchange Act of 1934, as amended.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“Final Award” means the final value of an Award as determined by the Administrator.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“Good Reason” means, unless otherwise defined for purposes of an Award:</w:t>
      </w:r>
    </w:p>
    <w:p>
      <w:pPr>
        <w:spacing w:after="0" w:line="179" w:lineRule="exact"/>
        <w:rPr>
          <w:sz w:val="20"/>
          <w:szCs w:val="20"/>
          <w:color w:val="auto"/>
        </w:rPr>
      </w:pPr>
    </w:p>
    <w:p>
      <w:pPr>
        <w:ind w:left="1380" w:hanging="319"/>
        <w:spacing w:after="0" w:line="232" w:lineRule="auto"/>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If an Employee is a party to an employment agreement with the Company or its Affiliates and such agreement provides for a definition of Good Reason, the definition contained therein;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43" w:name="page44"/>
    <w:bookmarkEnd w:id="43"/>
    <w:p>
      <w:pPr>
        <w:jc w:val="both"/>
        <w:ind w:left="1380" w:hanging="319"/>
        <w:spacing w:after="0" w:line="211" w:lineRule="auto"/>
        <w:tabs>
          <w:tab w:leader="none" w:pos="1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(ii) a material reduction in the Participant's base salary or bonus opportunity; or (iii) a geographical relocation of the Participant's principal office location by more than fifty (50) miles.</w:t>
      </w:r>
    </w:p>
    <w:p>
      <w:pPr>
        <w:spacing w:after="0" w:line="165" w:lineRule="exact"/>
        <w:rPr>
          <w:sz w:val="20"/>
          <w:szCs w:val="20"/>
          <w:color w:val="auto"/>
        </w:rPr>
      </w:pPr>
    </w:p>
    <w:p>
      <w:pPr>
        <w:jc w:val="both"/>
        <w:ind w:left="340" w:firstLine="972"/>
        <w:spacing w:after="0" w:line="247" w:lineRule="auto"/>
        <w:rPr>
          <w:sz w:val="20"/>
          <w:szCs w:val="20"/>
          <w:color w:val="auto"/>
        </w:rPr>
      </w:pPr>
      <w:r>
        <w:rPr>
          <w:rFonts w:ascii="Arial" w:cs="Arial" w:eastAsia="Arial" w:hAnsi="Arial"/>
          <w:sz w:val="19"/>
          <w:szCs w:val="19"/>
          <w:color w:val="auto"/>
        </w:rPr>
        <w:t>“Incumbent Directors” means individuals who, on the Restatement Date, constitute the Board, provided that any individual becoming a Director subsequent to the Restatement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“Participant” means an Employee to whom an Award has been made under this Plan.</w:t>
      </w:r>
    </w:p>
    <w:p>
      <w:pPr>
        <w:spacing w:after="0" w:line="179" w:lineRule="exact"/>
        <w:rPr>
          <w:sz w:val="20"/>
          <w:szCs w:val="20"/>
          <w:color w:val="auto"/>
        </w:rPr>
      </w:pPr>
    </w:p>
    <w:p>
      <w:pPr>
        <w:jc w:val="both"/>
        <w:ind w:left="340" w:firstLine="972"/>
        <w:spacing w:after="0" w:line="226" w:lineRule="auto"/>
        <w:rPr>
          <w:sz w:val="20"/>
          <w:szCs w:val="20"/>
          <w:color w:val="auto"/>
        </w:rPr>
      </w:pPr>
      <w:r>
        <w:rPr>
          <w:rFonts w:ascii="Arial" w:cs="Arial" w:eastAsia="Arial" w:hAnsi="Arial"/>
          <w:sz w:val="21"/>
          <w:szCs w:val="21"/>
          <w:color w:val="auto"/>
        </w:rPr>
        <w:t xml:space="preserve">“Performance Goal” means one or more objective standards established by the Committee, which may include, but are not limited to, the metrics identified in Section 5(a) hereof, and any other objective and qualitative standards established by the Administrator. The threshold objective Performance Goals applicable to the 2023 Plan Year are attached hereto as </w:t>
      </w:r>
      <w:r>
        <w:rPr>
          <w:rFonts w:ascii="Arial" w:cs="Arial" w:eastAsia="Arial" w:hAnsi="Arial"/>
          <w:sz w:val="21"/>
          <w:szCs w:val="21"/>
          <w:i w:val="1"/>
          <w:iCs w:val="1"/>
          <w:color w:val="auto"/>
        </w:rPr>
        <w:t>Exhibit A</w:t>
      </w:r>
      <w:r>
        <w:rPr>
          <w:rFonts w:ascii="Arial" w:cs="Arial" w:eastAsia="Arial" w:hAnsi="Arial"/>
          <w:sz w:val="21"/>
          <w:szCs w:val="21"/>
          <w:color w:val="auto"/>
        </w:rPr>
        <w:t xml:space="preserve">. For Plan Years after 2023, the Committee may establish threshold objective Performance Goal(s) in such form as it deems appropriate, including, but not limited to, by amendment of </w:t>
      </w:r>
      <w:r>
        <w:rPr>
          <w:rFonts w:ascii="Arial" w:cs="Arial" w:eastAsia="Arial" w:hAnsi="Arial"/>
          <w:sz w:val="21"/>
          <w:szCs w:val="21"/>
          <w:i w:val="1"/>
          <w:iCs w:val="1"/>
          <w:color w:val="auto"/>
        </w:rPr>
        <w:t>Exhibit A</w:t>
      </w:r>
      <w:r>
        <w:rPr>
          <w:rFonts w:ascii="Arial" w:cs="Arial" w:eastAsia="Arial" w:hAnsi="Arial"/>
          <w:sz w:val="21"/>
          <w:szCs w:val="21"/>
          <w:color w:val="auto"/>
        </w:rPr>
        <w:t>.</w:t>
      </w:r>
    </w:p>
    <w:p>
      <w:pPr>
        <w:spacing w:after="0" w:line="159" w:lineRule="exact"/>
        <w:rPr>
          <w:sz w:val="20"/>
          <w:szCs w:val="20"/>
          <w:color w:val="auto"/>
        </w:rPr>
      </w:pPr>
    </w:p>
    <w:p>
      <w:pPr>
        <w:jc w:val="both"/>
        <w:ind w:left="340" w:firstLine="972"/>
        <w:spacing w:after="0" w:line="232" w:lineRule="auto"/>
        <w:rPr>
          <w:sz w:val="20"/>
          <w:szCs w:val="20"/>
          <w:color w:val="auto"/>
        </w:rPr>
      </w:pPr>
      <w:r>
        <w:rPr>
          <w:rFonts w:ascii="Arial" w:cs="Arial" w:eastAsia="Arial" w:hAnsi="Arial"/>
          <w:sz w:val="22"/>
          <w:szCs w:val="22"/>
          <w:color w:val="auto"/>
        </w:rPr>
        <w:t>“Performance Period” means the Plan Year or such other period as may be determined by the Committee during which the Performance Goals established with respect to a Plan Year are measured.</w:t>
      </w:r>
    </w:p>
    <w:p>
      <w:pPr>
        <w:spacing w:after="0" w:line="159" w:lineRule="exact"/>
        <w:rPr>
          <w:sz w:val="20"/>
          <w:szCs w:val="20"/>
          <w:color w:val="auto"/>
        </w:rPr>
      </w:pPr>
    </w:p>
    <w:p>
      <w:pPr>
        <w:jc w:val="both"/>
        <w:ind w:left="340" w:firstLine="972"/>
        <w:spacing w:after="0" w:line="226" w:lineRule="auto"/>
        <w:rPr>
          <w:sz w:val="20"/>
          <w:szCs w:val="20"/>
          <w:color w:val="auto"/>
        </w:rPr>
      </w:pPr>
      <w:r>
        <w:rPr>
          <w:rFonts w:ascii="Arial" w:cs="Arial" w:eastAsia="Arial" w:hAnsi="Arial"/>
          <w:sz w:val="21"/>
          <w:szCs w:val="21"/>
          <w:color w:val="auto"/>
        </w:rPr>
        <w:t>“Permitted Holder” means (x) TTWF LP, a Delaware limited partnership, and its limited partners, and/or (y) TTWFGP LLC, a Delaware limited liability company and the general partner of TTWF LP, and its managers and members, and (z) the beneficiaries of any limited partner of TTWF LP or member or manager of TTWFGP LLC that is a trust, and (w) any corporation or other entity that, directly or through one or more intermediaries, is majority-controlled by any combination of individuals and entities described in clauses (x), (y) and (z).</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“Person” means a person as defined in Section 13(d)(3) of the Exchange Act.</w:t>
      </w:r>
    </w:p>
    <w:p>
      <w:pPr>
        <w:spacing w:after="0" w:line="179" w:lineRule="exact"/>
        <w:rPr>
          <w:sz w:val="20"/>
          <w:szCs w:val="20"/>
          <w:color w:val="auto"/>
        </w:rPr>
      </w:pPr>
    </w:p>
    <w:p>
      <w:pPr>
        <w:jc w:val="both"/>
        <w:ind w:left="340" w:firstLine="972"/>
        <w:spacing w:after="0" w:line="232" w:lineRule="auto"/>
        <w:rPr>
          <w:sz w:val="20"/>
          <w:szCs w:val="20"/>
          <w:color w:val="auto"/>
        </w:rPr>
      </w:pPr>
      <w:r>
        <w:rPr>
          <w:rFonts w:ascii="Arial" w:cs="Arial" w:eastAsia="Arial" w:hAnsi="Arial"/>
          <w:sz w:val="22"/>
          <w:szCs w:val="22"/>
          <w:color w:val="auto"/>
        </w:rPr>
        <w:t>“Plan” means this Westlake Corporation Annual Incentive Plan, as set forth herein and as may be amended from time to time.</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“Plan Year” means, unless otherwise specified by the Committee, January 1 through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4" w:name="page45"/>
    <w:bookmarkEnd w:id="44"/>
    <w:p>
      <w:pPr>
        <w:ind w:left="1300"/>
        <w:spacing w:after="0"/>
        <w:rPr>
          <w:sz w:val="20"/>
          <w:szCs w:val="20"/>
          <w:color w:val="auto"/>
        </w:rPr>
      </w:pPr>
      <w:r>
        <w:rPr>
          <w:rFonts w:ascii="Arial" w:cs="Arial" w:eastAsia="Arial" w:hAnsi="Arial"/>
          <w:sz w:val="22"/>
          <w:szCs w:val="22"/>
          <w:color w:val="auto"/>
        </w:rPr>
        <w:t>“Restatement Date” means May 11, 2023.</w:t>
      </w:r>
    </w:p>
    <w:p>
      <w:pPr>
        <w:spacing w:after="0" w:line="179" w:lineRule="exact"/>
        <w:rPr>
          <w:sz w:val="20"/>
          <w:szCs w:val="20"/>
          <w:color w:val="auto"/>
        </w:rPr>
      </w:pPr>
    </w:p>
    <w:p>
      <w:pPr>
        <w:jc w:val="both"/>
        <w:ind w:left="340" w:firstLine="972"/>
        <w:spacing w:after="0" w:line="243" w:lineRule="auto"/>
        <w:rPr>
          <w:sz w:val="20"/>
          <w:szCs w:val="20"/>
          <w:color w:val="auto"/>
        </w:rPr>
      </w:pPr>
      <w:r>
        <w:rPr>
          <w:rFonts w:ascii="Arial" w:cs="Arial" w:eastAsia="Arial" w:hAnsi="Arial"/>
          <w:sz w:val="19"/>
          <w:szCs w:val="19"/>
          <w:color w:val="auto"/>
        </w:rPr>
        <w:t>“Subsidiary” means (i) in the case of a corporation, any corporation of which the Company directly or indirectly owns shares representing more than 50% of the combined voting power of the shares of all classes or series of capital stock of that corporation that have the right to vote generally on matters submitted to a vote of the stockholders of that corporation and</w:t>
      </w:r>
    </w:p>
    <w:p>
      <w:pPr>
        <w:spacing w:after="0" w:line="2" w:lineRule="exact"/>
        <w:rPr>
          <w:sz w:val="20"/>
          <w:szCs w:val="20"/>
          <w:color w:val="auto"/>
        </w:rPr>
      </w:pPr>
    </w:p>
    <w:p>
      <w:pPr>
        <w:jc w:val="both"/>
        <w:ind w:left="340" w:hanging="8"/>
        <w:spacing w:after="0" w:line="217" w:lineRule="auto"/>
        <w:tabs>
          <w:tab w:leader="none" w:pos="667"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 the case of a partnership or other business entity not organized as a corporation, any such business entity of which the Company directly or indirectly owns more than 50% of the voting, capital or profits interests (whether in the form of partnership interests, membership interests or otherwise).</w:t>
      </w:r>
    </w:p>
    <w:p>
      <w:pPr>
        <w:spacing w:after="0" w:line="160" w:lineRule="exact"/>
        <w:rPr>
          <w:sz w:val="20"/>
          <w:szCs w:val="20"/>
          <w:color w:val="auto"/>
        </w:rPr>
      </w:pPr>
    </w:p>
    <w:p>
      <w:pPr>
        <w:ind w:left="340" w:firstLine="972"/>
        <w:spacing w:after="0" w:line="232" w:lineRule="auto"/>
        <w:rPr>
          <w:sz w:val="20"/>
          <w:szCs w:val="20"/>
          <w:color w:val="auto"/>
        </w:rPr>
      </w:pPr>
      <w:r>
        <w:rPr>
          <w:rFonts w:ascii="Arial" w:cs="Arial" w:eastAsia="Arial" w:hAnsi="Arial"/>
          <w:sz w:val="22"/>
          <w:szCs w:val="22"/>
          <w:color w:val="auto"/>
        </w:rPr>
        <w:t>“Target Bonus” means the target value of a Participant’s Award for a Plan Year, which shall be the Participant’s Target Bonus Percentage multiplied by the Participant’s Base Pay.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“Target Bonus Percentage” means a percentage of the Participant’s Base Pay.</w:t>
      </w:r>
    </w:p>
    <w:p>
      <w:pPr>
        <w:spacing w:after="0" w:line="179" w:lineRule="exact"/>
        <w:rPr>
          <w:sz w:val="20"/>
          <w:szCs w:val="20"/>
          <w:color w:val="auto"/>
        </w:rPr>
      </w:pPr>
    </w:p>
    <w:p>
      <w:pPr>
        <w:ind w:left="340" w:firstLine="972"/>
        <w:spacing w:after="0" w:line="232" w:lineRule="auto"/>
        <w:rPr>
          <w:sz w:val="20"/>
          <w:szCs w:val="20"/>
          <w:color w:val="auto"/>
        </w:rPr>
      </w:pPr>
      <w:r>
        <w:rPr>
          <w:rFonts w:ascii="Arial" w:cs="Arial" w:eastAsia="Arial" w:hAnsi="Arial"/>
          <w:sz w:val="22"/>
          <w:szCs w:val="22"/>
          <w:color w:val="auto"/>
        </w:rPr>
        <w:t>A pronoun or adjective in the masculine gender includes the feminine gender, and the singular includes the plural unless the context clearly indicates otherwise.</w:t>
      </w:r>
    </w:p>
    <w:p>
      <w:pPr>
        <w:spacing w:after="0" w:line="159" w:lineRule="exact"/>
        <w:rPr>
          <w:sz w:val="20"/>
          <w:szCs w:val="20"/>
          <w:color w:val="auto"/>
        </w:rPr>
      </w:pPr>
    </w:p>
    <w:p>
      <w:pPr>
        <w:ind w:left="340" w:hanging="332"/>
        <w:spacing w:after="0" w:line="247" w:lineRule="auto"/>
        <w:tabs>
          <w:tab w:leader="none" w:pos="340"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Eligibility</w:t>
      </w:r>
      <w:r>
        <w:rPr>
          <w:rFonts w:ascii="Arial" w:cs="Arial" w:eastAsia="Arial" w:hAnsi="Arial"/>
          <w:sz w:val="21"/>
          <w:szCs w:val="21"/>
          <w:color w:val="auto"/>
        </w:rPr>
        <w:t>. All Employees are eligible for Awards in the sole discretion of the Administrator. No Employee selected as a</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in a particular Plan Year will have any right to be selected as a Participant in any other Plan Year.</w:t>
      </w:r>
    </w:p>
    <w:p>
      <w:pPr>
        <w:spacing w:after="0" w:line="177" w:lineRule="exact"/>
        <w:rPr>
          <w:rFonts w:ascii="Arial" w:cs="Arial" w:eastAsia="Arial" w:hAnsi="Arial"/>
          <w:sz w:val="21"/>
          <w:szCs w:val="21"/>
          <w:color w:val="auto"/>
        </w:rPr>
      </w:pPr>
    </w:p>
    <w:p>
      <w:pPr>
        <w:jc w:val="both"/>
        <w:ind w:left="340" w:hanging="332"/>
        <w:spacing w:after="0" w:line="220" w:lineRule="auto"/>
        <w:tabs>
          <w:tab w:leader="none" w:pos="340"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Plan Administration</w:t>
      </w:r>
      <w:r>
        <w:rPr>
          <w:rFonts w:ascii="Arial" w:cs="Arial" w:eastAsia="Arial" w:hAnsi="Arial"/>
          <w:sz w:val="21"/>
          <w:szCs w:val="21"/>
          <w:color w:val="auto"/>
        </w:rPr>
        <w:t>. The Plan shall be administered by the Administrator, which shall have full and exclusive power to</w:t>
      </w:r>
      <w:r>
        <w:rPr>
          <w:rFonts w:ascii="Arial" w:cs="Arial" w:eastAsia="Arial" w:hAnsi="Arial"/>
          <w:sz w:val="21"/>
          <w:szCs w:val="21"/>
          <w:i w:val="1"/>
          <w:iCs w:val="1"/>
          <w:color w:val="auto"/>
        </w:rPr>
        <w:t xml:space="preserve"> </w:t>
      </w:r>
      <w:r>
        <w:rPr>
          <w:rFonts w:ascii="Arial" w:cs="Arial" w:eastAsia="Arial" w:hAnsi="Arial"/>
          <w:sz w:val="21"/>
          <w:szCs w:val="21"/>
          <w:color w:val="auto"/>
        </w:rPr>
        <w:t>interpret this Plan and to adopt such rules, regulations and guidelines for carrying out this Plan as it may deem necessary or appropriate in its sole discretion. All decisions of the Administrator in the interpretation and administration of this Plan shall lie within its sole and absolute discretion and shall be final, conclusive and binding on the Participants. Unless specifically stated herein as a function of the Committee, including without limitation, establishment of Performance Goals as specified in Section 5(a) hereof, the Administrator shall determine all terms and conditions of the Awards. Neither the Administrator nor any member of the Administrator shall be liable for anything done or omitted to be done by him or by any member of the Administrator in connection with the performance of any duties under this Plan, except for his own willful misconduct or as expressly provided by statute. The Administrator may delegate authority and duties under this Section to appropriate members of management.</w:t>
      </w:r>
    </w:p>
    <w:p>
      <w:pPr>
        <w:spacing w:after="0" w:line="189" w:lineRule="exact"/>
        <w:rPr>
          <w:rFonts w:ascii="Arial" w:cs="Arial" w:eastAsia="Arial" w:hAnsi="Arial"/>
          <w:sz w:val="21"/>
          <w:szCs w:val="21"/>
          <w:color w:val="auto"/>
        </w:rPr>
      </w:pPr>
    </w:p>
    <w:p>
      <w:pPr>
        <w:ind w:left="340" w:hanging="332"/>
        <w:spacing w:after="0"/>
        <w:tabs>
          <w:tab w:leader="none" w:pos="34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Calculation and Payment of Awards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hanging="328"/>
        <w:spacing w:after="0" w:line="252" w:lineRule="auto"/>
        <w:tabs>
          <w:tab w:leader="none" w:pos="660"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Performance Goals</w:t>
      </w:r>
      <w:r>
        <w:rPr>
          <w:rFonts w:ascii="Arial" w:cs="Arial" w:eastAsia="Arial" w:hAnsi="Arial"/>
          <w:sz w:val="19"/>
          <w:szCs w:val="19"/>
          <w:color w:val="auto"/>
        </w:rPr>
        <w:t>. The terms, conditions and limitations applicable to any Awards granted to Participants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this Plan shall be determined by the Administrator, subject to the limitations specified below. The Administrator shall set Performance Goals in its discretion which, depending on the extent to which they are met, will determine the value and/or amount of Awards that will be paid out to the Participant. As soon as practicable after the close of the Performance Period, the Administrator shall evaluate whether the objective financial Performance Goals were achieved.</w:t>
      </w:r>
    </w:p>
    <w:p>
      <w:pPr>
        <w:spacing w:after="0" w:line="175" w:lineRule="exact"/>
        <w:rPr>
          <w:rFonts w:ascii="Arial" w:cs="Arial" w:eastAsia="Arial" w:hAnsi="Arial"/>
          <w:sz w:val="19"/>
          <w:szCs w:val="19"/>
          <w:color w:val="auto"/>
        </w:rPr>
      </w:pPr>
    </w:p>
    <w:p>
      <w:pPr>
        <w:jc w:val="both"/>
        <w:ind w:left="660" w:hanging="328"/>
        <w:spacing w:after="0" w:line="257" w:lineRule="auto"/>
        <w:tabs>
          <w:tab w:leader="none" w:pos="660"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Establishment of Target Bonus Percentage</w:t>
      </w:r>
      <w:r>
        <w:rPr>
          <w:rFonts w:ascii="Arial" w:cs="Arial" w:eastAsia="Arial" w:hAnsi="Arial"/>
          <w:sz w:val="19"/>
          <w:szCs w:val="19"/>
          <w:color w:val="auto"/>
        </w:rPr>
        <w:t>. The Administrator shall establish a Target Bonus Percentage for each</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for the Plan Year, based on any considerations the Administrator deems appropriate. An Employee who becomes a Participant after the first day of a Performance Period may be awarded a Target Bonus Percentage and may be eligible for a pro rata Award calculated in accordance with administrative principles in the discretion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45" w:name="page46"/>
    <w:bookmarkEnd w:id="45"/>
    <w:p>
      <w:pPr>
        <w:spacing w:after="0" w:line="204" w:lineRule="exact"/>
        <w:rPr>
          <w:sz w:val="20"/>
          <w:szCs w:val="20"/>
          <w:color w:val="auto"/>
        </w:rPr>
      </w:pPr>
    </w:p>
    <w:p>
      <w:pPr>
        <w:jc w:val="both"/>
        <w:ind w:left="660" w:hanging="328"/>
        <w:spacing w:after="0" w:line="212" w:lineRule="auto"/>
        <w:tabs>
          <w:tab w:leader="none" w:pos="660"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Authorization and Calculation of Final Award</w:t>
      </w:r>
      <w:r>
        <w:rPr>
          <w:rFonts w:ascii="Arial" w:cs="Arial" w:eastAsia="Arial" w:hAnsi="Arial"/>
          <w:sz w:val="22"/>
          <w:szCs w:val="22"/>
          <w:color w:val="auto"/>
        </w:rPr>
        <w:t>. Prior to a Final Award being authorized for any Participant, the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shall determine that the applicable threshold Performance Goals and any other material terms thereof were, in fact, satisfied. If the applicable threshold Performance Goals were not achieved, no Final Award shall be authorized for any Participant. If the Committee certifies that the applicable threshold Performance Goals were satisfied, a Final Award shall be authorized for each Participant in an amount that does not exceed the amount calculated in accordance with administrative principles in the discretion of management. The Administrator, in its sole discretion, may reduce or increase a Participant’s Final Award.</w:t>
      </w:r>
    </w:p>
    <w:p>
      <w:pPr>
        <w:spacing w:after="0" w:line="163" w:lineRule="exact"/>
        <w:rPr>
          <w:rFonts w:ascii="Arial" w:cs="Arial" w:eastAsia="Arial" w:hAnsi="Arial"/>
          <w:sz w:val="22"/>
          <w:szCs w:val="22"/>
          <w:color w:val="auto"/>
        </w:rPr>
      </w:pPr>
    </w:p>
    <w:p>
      <w:pPr>
        <w:jc w:val="both"/>
        <w:ind w:left="660" w:hanging="328"/>
        <w:spacing w:after="0" w:line="223" w:lineRule="auto"/>
        <w:tabs>
          <w:tab w:leader="none" w:pos="951"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Termination of Employment</w:t>
      </w:r>
      <w:r>
        <w:rPr>
          <w:rFonts w:ascii="Arial" w:cs="Arial" w:eastAsia="Arial" w:hAnsi="Arial"/>
          <w:sz w:val="22"/>
          <w:szCs w:val="22"/>
          <w:color w:val="auto"/>
        </w:rPr>
        <w:t>. Except as required by law or otherwise provided in in Section 6 below or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 in accordance with administrative principles in the discretion of management, Awards will be paid only to Participants who are in active Employment on the date Awards are paid.</w:t>
      </w:r>
    </w:p>
    <w:p>
      <w:pPr>
        <w:spacing w:after="0" w:line="158" w:lineRule="exact"/>
        <w:rPr>
          <w:rFonts w:ascii="Arial" w:cs="Arial" w:eastAsia="Arial" w:hAnsi="Arial"/>
          <w:sz w:val="22"/>
          <w:szCs w:val="22"/>
          <w:color w:val="auto"/>
        </w:rPr>
      </w:pPr>
    </w:p>
    <w:p>
      <w:pPr>
        <w:jc w:val="both"/>
        <w:ind w:left="740" w:hanging="408"/>
        <w:spacing w:after="0" w:line="268" w:lineRule="auto"/>
        <w:tabs>
          <w:tab w:leader="none" w:pos="881"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Payment of Final Award</w:t>
      </w:r>
      <w:r>
        <w:rPr>
          <w:rFonts w:ascii="Arial" w:cs="Arial" w:eastAsia="Arial" w:hAnsi="Arial"/>
          <w:sz w:val="19"/>
          <w:szCs w:val="19"/>
          <w:color w:val="auto"/>
        </w:rPr>
        <w:t>. A Participant’s Final Award shall be paid to the Participant in accordance with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principles in the discretion of management. The payments may be made over a period of time, in increments, subject to conditions as determined appropriate by the Administrator, including, but not limited to, continued employment.</w:t>
      </w:r>
    </w:p>
    <w:p>
      <w:pPr>
        <w:spacing w:after="0" w:line="132" w:lineRule="exact"/>
        <w:rPr>
          <w:rFonts w:ascii="Arial" w:cs="Arial" w:eastAsia="Arial" w:hAnsi="Arial"/>
          <w:sz w:val="19"/>
          <w:szCs w:val="19"/>
          <w:color w:val="auto"/>
        </w:rPr>
      </w:pPr>
    </w:p>
    <w:p>
      <w:pPr>
        <w:ind w:left="340" w:hanging="332"/>
        <w:spacing w:after="0" w:line="232"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Effect of Change in Control</w:t>
      </w:r>
      <w:r>
        <w:rPr>
          <w:rFonts w:ascii="Arial" w:cs="Arial" w:eastAsia="Arial" w:hAnsi="Arial"/>
          <w:sz w:val="22"/>
          <w:szCs w:val="22"/>
          <w:color w:val="auto"/>
        </w:rPr>
        <w:t>. Notwithstanding any other provision of the Plan to the contrary, in the event of a Change in</w:t>
      </w:r>
      <w:r>
        <w:rPr>
          <w:rFonts w:ascii="Arial" w:cs="Arial" w:eastAsia="Arial" w:hAnsi="Arial"/>
          <w:sz w:val="22"/>
          <w:szCs w:val="22"/>
          <w:i w:val="1"/>
          <w:iCs w:val="1"/>
          <w:color w:val="auto"/>
        </w:rPr>
        <w:t xml:space="preserve"> </w:t>
      </w:r>
      <w:r>
        <w:rPr>
          <w:rFonts w:ascii="Arial" w:cs="Arial" w:eastAsia="Arial" w:hAnsi="Arial"/>
          <w:sz w:val="22"/>
          <w:szCs w:val="22"/>
          <w:color w:val="auto"/>
        </w:rPr>
        <w:t>Control:</w:t>
      </w:r>
    </w:p>
    <w:p>
      <w:pPr>
        <w:spacing w:after="0" w:line="185" w:lineRule="exact"/>
        <w:rPr>
          <w:rFonts w:ascii="Arial" w:cs="Arial" w:eastAsia="Arial" w:hAnsi="Arial"/>
          <w:sz w:val="22"/>
          <w:szCs w:val="22"/>
          <w:color w:val="auto"/>
        </w:rPr>
      </w:pPr>
    </w:p>
    <w:p>
      <w:pPr>
        <w:jc w:val="both"/>
        <w:ind w:left="740" w:hanging="408"/>
        <w:spacing w:after="0" w:line="257" w:lineRule="auto"/>
        <w:tabs>
          <w:tab w:leader="none" w:pos="886" w:val="left"/>
        </w:tabs>
        <w:numPr>
          <w:ilvl w:val="1"/>
          <w:numId w:val="21"/>
        </w:numPr>
        <w:rPr>
          <w:rFonts w:ascii="Arial" w:cs="Arial" w:eastAsia="Arial" w:hAnsi="Arial"/>
          <w:sz w:val="19"/>
          <w:szCs w:val="19"/>
          <w:color w:val="auto"/>
        </w:rPr>
      </w:pPr>
      <w:r>
        <w:rPr>
          <w:rFonts w:ascii="Arial" w:cs="Arial" w:eastAsia="Arial" w:hAnsi="Arial"/>
          <w:sz w:val="19"/>
          <w:szCs w:val="19"/>
          <w:color w:val="auto"/>
        </w:rPr>
        <w:t>If the continuing entity after a Change in Control fails to assume an Award of equivalent value, calculated inclusive of any banking factors carried over from prior Plan years, the Final Award shall be determined and payable based upon the extent to which Performance Goals (including, but not limited to, the threshold Performance Goals, if applicable) were actually achieved as of such Change in Control and immediately payable on the date of the Change in Control.</w:t>
      </w:r>
    </w:p>
    <w:p>
      <w:pPr>
        <w:spacing w:after="0" w:line="144" w:lineRule="exact"/>
        <w:rPr>
          <w:rFonts w:ascii="Arial" w:cs="Arial" w:eastAsia="Arial" w:hAnsi="Arial"/>
          <w:sz w:val="19"/>
          <w:szCs w:val="19"/>
          <w:color w:val="auto"/>
        </w:rPr>
      </w:pPr>
    </w:p>
    <w:p>
      <w:pPr>
        <w:jc w:val="both"/>
        <w:ind w:left="740" w:hanging="408"/>
        <w:spacing w:after="0" w:line="221" w:lineRule="auto"/>
        <w:tabs>
          <w:tab w:leader="none" w:pos="891" w:val="left"/>
        </w:tabs>
        <w:numPr>
          <w:ilvl w:val="1"/>
          <w:numId w:val="21"/>
        </w:numPr>
        <w:rPr>
          <w:rFonts w:ascii="Arial" w:cs="Arial" w:eastAsia="Arial" w:hAnsi="Arial"/>
          <w:sz w:val="21"/>
          <w:szCs w:val="21"/>
          <w:color w:val="auto"/>
        </w:rPr>
      </w:pPr>
      <w:r>
        <w:rPr>
          <w:rFonts w:ascii="Arial" w:cs="Arial" w:eastAsia="Arial" w:hAnsi="Arial"/>
          <w:sz w:val="21"/>
          <w:szCs w:val="21"/>
          <w:color w:val="auto"/>
        </w:rPr>
        <w:t>If the continuing entity after a Change in Control assumes a Final Award of equivalent value (as described below as of the date of the Change in Control), calculated inclusive of any banking factors carried over from prior Plan years, then the assumed Final Award shall be payable in accordance with the original schedule as determined by the Administrator and shall not accelerate, except that upon the termination of the Participant’s active Employment by the Company without Cause or by the Participant for Good Reason during the Change in Control Protection Period, any assumed Final Award shall become payable on a pro rata basis based on the number of days of active Employment during the applicable Plan Year. The assumed Final Award shall be determined to have been achieved based upon the extent to which Performance Goals (including, but not limited to, the threshold Performance Goals, if applicable) were actually achieved as of such Change in Control.</w:t>
      </w:r>
    </w:p>
    <w:p>
      <w:pPr>
        <w:spacing w:after="0" w:line="158" w:lineRule="exact"/>
        <w:rPr>
          <w:rFonts w:ascii="Arial" w:cs="Arial" w:eastAsia="Arial" w:hAnsi="Arial"/>
          <w:sz w:val="21"/>
          <w:szCs w:val="21"/>
          <w:color w:val="auto"/>
        </w:rPr>
      </w:pPr>
    </w:p>
    <w:p>
      <w:pPr>
        <w:jc w:val="both"/>
        <w:ind w:left="340" w:hanging="332"/>
        <w:spacing w:after="0" w:line="257" w:lineRule="auto"/>
        <w:tabs>
          <w:tab w:leader="none" w:pos="340"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Amendment, Modification, Suspension or Termination</w:t>
      </w:r>
      <w:r>
        <w:rPr>
          <w:rFonts w:ascii="Arial" w:cs="Arial" w:eastAsia="Arial" w:hAnsi="Arial"/>
          <w:sz w:val="19"/>
          <w:szCs w:val="19"/>
          <w:color w:val="auto"/>
        </w:rPr>
        <w:t>. The Committee may amend, modify, suspend or terminate this Plan at</w:t>
      </w:r>
      <w:r>
        <w:rPr>
          <w:rFonts w:ascii="Arial" w:cs="Arial" w:eastAsia="Arial" w:hAnsi="Arial"/>
          <w:sz w:val="19"/>
          <w:szCs w:val="19"/>
          <w:i w:val="1"/>
          <w:iCs w:val="1"/>
          <w:color w:val="auto"/>
        </w:rPr>
        <w:t xml:space="preserve"> </w:t>
      </w:r>
      <w:r>
        <w:rPr>
          <w:rFonts w:ascii="Arial" w:cs="Arial" w:eastAsia="Arial" w:hAnsi="Arial"/>
          <w:sz w:val="19"/>
          <w:szCs w:val="19"/>
          <w:color w:val="auto"/>
        </w:rPr>
        <w:t>any time, and nothing in this Plan grants Participants any rights that are not otherwise subject to modification; provided, however, that no amendment shall be made after the date of a Change in Control that negatively impacts a Participant’s rights hereunder. The Committee may delegate its authority under this section to the Chief Executive Officer of the Company.</w:t>
      </w:r>
    </w:p>
    <w:p>
      <w:pPr>
        <w:spacing w:after="0" w:line="171" w:lineRule="exact"/>
        <w:rPr>
          <w:rFonts w:ascii="Arial" w:cs="Arial" w:eastAsia="Arial" w:hAnsi="Arial"/>
          <w:sz w:val="19"/>
          <w:szCs w:val="19"/>
          <w:color w:val="auto"/>
        </w:rPr>
      </w:pPr>
    </w:p>
    <w:p>
      <w:pPr>
        <w:ind w:left="340" w:hanging="332"/>
        <w:spacing w:after="0" w:line="232"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Compliance with Section 409A</w:t>
      </w:r>
      <w:r>
        <w:rPr>
          <w:rFonts w:ascii="Arial" w:cs="Arial" w:eastAsia="Arial" w:hAnsi="Arial"/>
          <w:sz w:val="22"/>
          <w:szCs w:val="22"/>
          <w:color w:val="auto"/>
        </w:rPr>
        <w:t>. The Plan and Awards granted hereunder are intended to be exempt from the requirements of</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409A of the Code under the short-term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6" w:name="page47"/>
    <w:bookmarkEnd w:id="46"/>
    <w:p>
      <w:pPr>
        <w:ind w:left="340"/>
        <w:spacing w:after="0" w:line="232" w:lineRule="auto"/>
        <w:rPr>
          <w:sz w:val="20"/>
          <w:szCs w:val="20"/>
          <w:color w:val="auto"/>
        </w:rPr>
      </w:pPr>
      <w:r>
        <w:rPr>
          <w:rFonts w:ascii="Arial" w:cs="Arial" w:eastAsia="Arial" w:hAnsi="Arial"/>
          <w:sz w:val="22"/>
          <w:szCs w:val="22"/>
          <w:color w:val="auto"/>
        </w:rPr>
        <w:t>exception under Treasury Regulation § 1.409A-1(b)(4), and shall be interpreted and administered in a manner consistent with that intent.</w:t>
      </w:r>
    </w:p>
    <w:p>
      <w:pPr>
        <w:spacing w:after="0" w:line="186" w:lineRule="exact"/>
        <w:rPr>
          <w:sz w:val="20"/>
          <w:szCs w:val="20"/>
          <w:color w:val="auto"/>
        </w:rPr>
      </w:pPr>
    </w:p>
    <w:p>
      <w:pPr>
        <w:jc w:val="both"/>
        <w:ind w:left="340" w:hanging="332"/>
        <w:spacing w:after="0" w:line="218" w:lineRule="auto"/>
        <w:tabs>
          <w:tab w:leader="none" w:pos="340"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Taxes</w:t>
      </w:r>
      <w:r>
        <w:rPr>
          <w:rFonts w:ascii="Arial" w:cs="Arial" w:eastAsia="Arial" w:hAnsi="Arial"/>
          <w:sz w:val="22"/>
          <w:szCs w:val="22"/>
          <w:color w:val="auto"/>
        </w:rPr>
        <w:t>. The Company or its designated third-party administrator shall have the right to deduct applicable taxes from any</w:t>
      </w:r>
      <w:r>
        <w:rPr>
          <w:rFonts w:ascii="Arial" w:cs="Arial" w:eastAsia="Arial" w:hAnsi="Arial"/>
          <w:sz w:val="22"/>
          <w:szCs w:val="22"/>
          <w:i w:val="1"/>
          <w:iCs w:val="1"/>
          <w:color w:val="auto"/>
        </w:rPr>
        <w:t xml:space="preserve"> </w:t>
      </w:r>
      <w:r>
        <w:rPr>
          <w:rFonts w:ascii="Arial" w:cs="Arial" w:eastAsia="Arial" w:hAnsi="Arial"/>
          <w:sz w:val="22"/>
          <w:szCs w:val="22"/>
          <w:color w:val="auto"/>
        </w:rPr>
        <w:t>Award payment and withhold, at the time of delivery of cash under this Plan, an appropriate amount of cash for payment of taxes or other amounts required by law or to take such other action as may be necessary in the opinion of the Company to satisfy all obligations for withholding of such taxes.</w:t>
      </w:r>
    </w:p>
    <w:p>
      <w:pPr>
        <w:spacing w:after="0" w:line="187" w:lineRule="exact"/>
        <w:rPr>
          <w:rFonts w:ascii="Arial" w:cs="Arial" w:eastAsia="Arial" w:hAnsi="Arial"/>
          <w:sz w:val="22"/>
          <w:szCs w:val="22"/>
          <w:color w:val="auto"/>
        </w:rPr>
      </w:pPr>
    </w:p>
    <w:p>
      <w:pPr>
        <w:jc w:val="both"/>
        <w:ind w:left="340" w:hanging="332"/>
        <w:spacing w:after="0" w:line="222" w:lineRule="auto"/>
        <w:tabs>
          <w:tab w:leader="none" w:pos="340" w:val="left"/>
        </w:tabs>
        <w:numPr>
          <w:ilvl w:val="0"/>
          <w:numId w:val="22"/>
        </w:numPr>
        <w:rPr>
          <w:rFonts w:ascii="Arial" w:cs="Arial" w:eastAsia="Arial" w:hAnsi="Arial"/>
          <w:sz w:val="21"/>
          <w:szCs w:val="21"/>
          <w:color w:val="auto"/>
        </w:rPr>
      </w:pPr>
      <w:r>
        <w:rPr>
          <w:rFonts w:ascii="Arial" w:cs="Arial" w:eastAsia="Arial" w:hAnsi="Arial"/>
          <w:sz w:val="21"/>
          <w:szCs w:val="21"/>
          <w:i w:val="1"/>
          <w:iCs w:val="1"/>
          <w:color w:val="auto"/>
        </w:rPr>
        <w:t>Unfunded Plan</w:t>
      </w:r>
      <w:r>
        <w:rPr>
          <w:rFonts w:ascii="Arial" w:cs="Arial" w:eastAsia="Arial" w:hAnsi="Arial"/>
          <w:sz w:val="21"/>
          <w:szCs w:val="21"/>
          <w:color w:val="auto"/>
        </w:rPr>
        <w:t>. This Plan shall be unfunded. Although bookkeeping accounts may be established with respect to Participants</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Plan, any such accounts shall be used merely as a bookkeeping convenience. The Company shall not be required to segregate any assets for purposes of this Plan or Awards hereunder, nor shall the Company, the Board or the Administrator be deemed to be a trustee of any benefit to be granted under this Plan. Any liability or obligation of the Company to any Participant with respect to an Award under this Plan shall be based solely upon any contractual obligations that may be created by this Plan, and no such liability or obligation of the Company shall be deemed to be secured by any pledge or other encumbrance on any property of the Company.</w:t>
      </w:r>
    </w:p>
    <w:p>
      <w:pPr>
        <w:spacing w:after="0" w:line="191" w:lineRule="exact"/>
        <w:rPr>
          <w:rFonts w:ascii="Arial" w:cs="Arial" w:eastAsia="Arial" w:hAnsi="Arial"/>
          <w:sz w:val="21"/>
          <w:szCs w:val="21"/>
          <w:color w:val="auto"/>
        </w:rPr>
      </w:pPr>
    </w:p>
    <w:p>
      <w:pPr>
        <w:jc w:val="both"/>
        <w:ind w:left="340" w:hanging="332"/>
        <w:spacing w:after="0" w:line="268" w:lineRule="auto"/>
        <w:tabs>
          <w:tab w:leader="none" w:pos="332"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Right to Employment</w:t>
      </w:r>
      <w:r>
        <w:rPr>
          <w:rFonts w:ascii="Arial" w:cs="Arial" w:eastAsia="Arial" w:hAnsi="Arial"/>
          <w:sz w:val="19"/>
          <w:szCs w:val="19"/>
          <w:color w:val="auto"/>
        </w:rPr>
        <w:t>. Nothing in the Plan or Awards granted hereunder shall interfere with or limit in any way the right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terminate any Participant’s employment or other service relationship at any time, nor confer upon any Participant any right to continue in the capacity in which he or she is employed or otherwise serves the Company.</w:t>
      </w:r>
    </w:p>
    <w:p>
      <w:pPr>
        <w:spacing w:after="0" w:line="159" w:lineRule="exact"/>
        <w:rPr>
          <w:rFonts w:ascii="Arial" w:cs="Arial" w:eastAsia="Arial" w:hAnsi="Arial"/>
          <w:sz w:val="19"/>
          <w:szCs w:val="19"/>
          <w:color w:val="auto"/>
        </w:rPr>
      </w:pPr>
    </w:p>
    <w:p>
      <w:pPr>
        <w:jc w:val="both"/>
        <w:ind w:left="340" w:hanging="332"/>
        <w:spacing w:after="0" w:line="268"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Successors</w:t>
      </w:r>
      <w:r>
        <w:rPr>
          <w:rFonts w:ascii="Arial" w:cs="Arial" w:eastAsia="Arial" w:hAnsi="Arial"/>
          <w:sz w:val="19"/>
          <w:szCs w:val="19"/>
          <w:color w:val="auto"/>
        </w:rPr>
        <w:t>. All obligations of the Company under the Plan with respect to Awards granted hereunder shall be binding on any</w:t>
      </w:r>
      <w:r>
        <w:rPr>
          <w:rFonts w:ascii="Arial" w:cs="Arial" w:eastAsia="Arial" w:hAnsi="Arial"/>
          <w:sz w:val="19"/>
          <w:szCs w:val="19"/>
          <w:i w:val="1"/>
          <w:iCs w:val="1"/>
          <w:color w:val="auto"/>
        </w:rPr>
        <w:t xml:space="preserve"> </w:t>
      </w:r>
      <w:r>
        <w:rPr>
          <w:rFonts w:ascii="Arial" w:cs="Arial" w:eastAsia="Arial" w:hAnsi="Arial"/>
          <w:sz w:val="19"/>
          <w:szCs w:val="19"/>
          <w:color w:val="auto"/>
        </w:rPr>
        <w:t>successor to the Company, whether the existence of such successor is the result of a direct or indirect purchase, merger, consolidation, or otherwise, of all or substantially all of the business and/or assets of the Company.</w:t>
      </w:r>
    </w:p>
    <w:p>
      <w:pPr>
        <w:spacing w:after="0" w:line="159" w:lineRule="exact"/>
        <w:rPr>
          <w:rFonts w:ascii="Arial" w:cs="Arial" w:eastAsia="Arial" w:hAnsi="Arial"/>
          <w:sz w:val="19"/>
          <w:szCs w:val="19"/>
          <w:color w:val="auto"/>
        </w:rPr>
      </w:pPr>
    </w:p>
    <w:p>
      <w:pPr>
        <w:jc w:val="both"/>
        <w:ind w:left="340" w:hanging="332"/>
        <w:spacing w:after="0" w:line="223" w:lineRule="auto"/>
        <w:tabs>
          <w:tab w:leader="none" w:pos="340"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Plan and all determinations made and actions taken pursuant hereto, to the extent not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mandatory provisions of the Code or the securities laws of the United States, shall be governed by and construed in accordance with the laws of the State of Texas.</w:t>
      </w:r>
    </w:p>
    <w:p>
      <w:pPr>
        <w:spacing w:after="0" w:line="185" w:lineRule="exact"/>
        <w:rPr>
          <w:rFonts w:ascii="Arial" w:cs="Arial" w:eastAsia="Arial" w:hAnsi="Arial"/>
          <w:sz w:val="22"/>
          <w:szCs w:val="22"/>
          <w:color w:val="auto"/>
        </w:rPr>
      </w:pPr>
    </w:p>
    <w:p>
      <w:pPr>
        <w:jc w:val="both"/>
        <w:ind w:left="340" w:hanging="332"/>
        <w:spacing w:after="0" w:line="214" w:lineRule="auto"/>
        <w:tabs>
          <w:tab w:leader="none" w:pos="340"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Clawback/Recoupment Policy</w:t>
      </w:r>
      <w:r>
        <w:rPr>
          <w:rFonts w:ascii="Arial" w:cs="Arial" w:eastAsia="Arial" w:hAnsi="Arial"/>
          <w:sz w:val="22"/>
          <w:szCs w:val="22"/>
          <w:color w:val="auto"/>
        </w:rPr>
        <w:t>. Notwithstanding any provisions in the Plan or any Award to the contrary, all Awards and</w:t>
      </w:r>
      <w:r>
        <w:rPr>
          <w:rFonts w:ascii="Arial" w:cs="Arial" w:eastAsia="Arial" w:hAnsi="Arial"/>
          <w:sz w:val="22"/>
          <w:szCs w:val="22"/>
          <w:i w:val="1"/>
          <w:iCs w:val="1"/>
          <w:color w:val="auto"/>
        </w:rPr>
        <w:t xml:space="preserve"> </w:t>
      </w:r>
      <w:r>
        <w:rPr>
          <w:rFonts w:ascii="Arial" w:cs="Arial" w:eastAsia="Arial" w:hAnsi="Arial"/>
          <w:sz w:val="22"/>
          <w:szCs w:val="22"/>
          <w:color w:val="auto"/>
        </w:rPr>
        <w:t>amounts payable shall be subject to potential cancellation, rescission, clawback and recoupment (i) to the extent necessary to comply with the requirements of Section 954 of the Dodd-Frank Wall Street Reform and Consumer Protection Act of 2010 and any regulations or listing requirements promulgated thereunder, and/or (ii) as may be required in accordance with the terms of any clawback/ recoupment policy as may be adopted by the Company, as such policy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2023 PLAN YEAR</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order for bonus awards to be authorized for the Plan Year from January 1, 2023 through December 31, 2023, and any subsequent Plan Year unless otherwise amended by the Committee, the Committee must certify that any one or more of the following Performance Goals has been achieved:</w:t>
      </w:r>
    </w:p>
    <w:p>
      <w:pPr>
        <w:spacing w:after="0" w:line="180" w:lineRule="exact"/>
        <w:rPr>
          <w:sz w:val="20"/>
          <w:szCs w:val="20"/>
          <w:color w:val="auto"/>
        </w:rPr>
      </w:pPr>
    </w:p>
    <w:p>
      <w:pPr>
        <w:jc w:val="both"/>
        <w:ind w:left="340" w:hanging="332"/>
        <w:spacing w:after="0" w:line="259" w:lineRule="auto"/>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Total Shareholder Return (TSR) – </w:t>
      </w:r>
      <w:r>
        <w:rPr>
          <w:rFonts w:ascii="Arial" w:cs="Arial" w:eastAsia="Arial" w:hAnsi="Arial"/>
          <w:sz w:val="19"/>
          <w:szCs w:val="19"/>
          <w:color w:val="auto"/>
        </w:rPr>
        <w:t>The Company’s TSR relative to the “Peer Group” is within the top two-thirds. For this</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TSR is defined as (A) the average of the daily average stock price for the 90-day period ended on December 31, 2023, minus the average of the daily average stock price for the 90-day period ended on December 31, 2022, plus dividends paid, divided by (B) the average of the daily average stock price for the 90-day period ended on December 31, 2022.</w:t>
      </w:r>
    </w:p>
    <w:p>
      <w:pPr>
        <w:spacing w:after="0" w:line="169"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For the purpose of this Plan, the “Peer Group” will be selected by the Committee for 2023.</w:t>
      </w:r>
    </w:p>
    <w:p>
      <w:pPr>
        <w:spacing w:after="0" w:line="200" w:lineRule="exact"/>
        <w:rPr>
          <w:rFonts w:ascii="Arial" w:cs="Arial" w:eastAsia="Arial" w:hAnsi="Arial"/>
          <w:sz w:val="19"/>
          <w:szCs w:val="19"/>
          <w:color w:val="auto"/>
        </w:rPr>
      </w:pPr>
    </w:p>
    <w:p>
      <w:pPr>
        <w:ind w:left="340" w:hanging="332"/>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SGA – </w:t>
      </w:r>
      <w:r>
        <w:rPr>
          <w:rFonts w:ascii="Arial" w:cs="Arial" w:eastAsia="Arial" w:hAnsi="Arial"/>
          <w:sz w:val="22"/>
          <w:szCs w:val="22"/>
          <w:color w:val="auto"/>
        </w:rPr>
        <w:t>The selling, general and administrative expenses (“SGA”) is be equal to or less than $822.215 million.</w:t>
      </w:r>
    </w:p>
    <w:p>
      <w:pPr>
        <w:spacing w:after="0" w:line="206" w:lineRule="exact"/>
        <w:rPr>
          <w:rFonts w:ascii="Arial" w:cs="Arial" w:eastAsia="Arial" w:hAnsi="Arial"/>
          <w:sz w:val="22"/>
          <w:szCs w:val="22"/>
          <w:color w:val="auto"/>
        </w:rPr>
      </w:pPr>
    </w:p>
    <w:p>
      <w:pPr>
        <w:jc w:val="both"/>
        <w:ind w:left="340" w:hanging="332"/>
        <w:spacing w:after="0" w:line="225" w:lineRule="auto"/>
        <w:tabs>
          <w:tab w:leader="none" w:pos="34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Return on Capital – </w:t>
      </w:r>
      <w:r>
        <w:rPr>
          <w:rFonts w:ascii="Arial" w:cs="Arial" w:eastAsia="Arial" w:hAnsi="Arial"/>
          <w:sz w:val="22"/>
          <w:szCs w:val="22"/>
          <w:color w:val="auto"/>
        </w:rPr>
        <w:t>Return on capital of 2.9% (which is based on approximately 33 % of the weighted average cost of</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For this purpose, return on capital will equal net operating profit after tax of the Company on a consolidated basis divided by capital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48" w:name="page49"/>
    <w:bookmarkEnd w:id="48"/>
    <w:p>
      <w:pPr>
        <w:ind w:left="10340"/>
        <w:spacing w:after="0"/>
        <w:rPr>
          <w:sz w:val="20"/>
          <w:szCs w:val="20"/>
          <w:color w:val="auto"/>
        </w:rPr>
      </w:pPr>
      <w:r>
        <w:rPr>
          <w:rFonts w:ascii="Arial" w:cs="Arial" w:eastAsia="Arial" w:hAnsi="Arial"/>
          <w:sz w:val="16"/>
          <w:szCs w:val="16"/>
          <w:b w:val="1"/>
          <w:bCs w:val="1"/>
          <w:i w:val="1"/>
          <w:i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%%OPTION_DATE,'Month DD, YYYY'%-%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%%FIRST_NAME_MIDDLE_NAME_LAST_NAME%-%</w:t>
      </w:r>
    </w:p>
    <w:p>
      <w:pPr>
        <w:spacing w:after="0"/>
        <w:rPr>
          <w:sz w:val="20"/>
          <w:szCs w:val="20"/>
          <w:color w:val="auto"/>
        </w:rPr>
      </w:pPr>
      <w:r>
        <w:rPr>
          <w:rFonts w:ascii="Arial" w:cs="Arial" w:eastAsia="Arial" w:hAnsi="Arial"/>
          <w:sz w:val="20"/>
          <w:szCs w:val="20"/>
          <w:b w:val="1"/>
          <w:bCs w:val="1"/>
          <w:color w:val="auto"/>
        </w:rPr>
        <w:t>%%TITLE1%-%</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Re:</w:t>
        <w:tab/>
        <w:t>WESTLAKE CORPORATION</w:t>
      </w:r>
    </w:p>
    <w:p>
      <w:pPr>
        <w:ind w:left="660"/>
        <w:spacing w:after="0"/>
        <w:rPr>
          <w:sz w:val="20"/>
          <w:szCs w:val="20"/>
          <w:color w:val="auto"/>
        </w:rPr>
      </w:pPr>
      <w:r>
        <w:rPr>
          <w:rFonts w:ascii="Arial" w:cs="Arial" w:eastAsia="Arial" w:hAnsi="Arial"/>
          <w:sz w:val="20"/>
          <w:szCs w:val="20"/>
          <w:b w:val="1"/>
          <w:bCs w:val="1"/>
          <w:color w:val="auto"/>
        </w:rPr>
        <w:t>RESTRICTED STOCK UNIT AWARD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b w:val="1"/>
          <w:bCs w:val="1"/>
          <w:color w:val="auto"/>
        </w:rPr>
        <w:t>%%FIRST_NAME%-%,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Westlake Corporation (the “Company”) is pleased to notify you that, in consideration of your past and/or continued employment with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service to the Company and other good and valuable consideration and subject to your full compliance at all times with the Covenants (as defined in Paragraph 7 below), you have been granted an award (“Award”) of the total shares granted in the table below (“Restricted Stock</w:t>
      </w:r>
    </w:p>
    <w:p>
      <w:pPr>
        <w:spacing w:after="0" w:line="236" w:lineRule="auto"/>
        <w:rPr>
          <w:sz w:val="20"/>
          <w:szCs w:val="20"/>
          <w:color w:val="auto"/>
        </w:rPr>
      </w:pPr>
      <w:r>
        <w:rPr>
          <w:rFonts w:ascii="Arial" w:cs="Arial" w:eastAsia="Arial" w:hAnsi="Arial"/>
          <w:sz w:val="18"/>
          <w:szCs w:val="18"/>
          <w:color w:val="auto"/>
        </w:rPr>
        <w:t>Units”), each such unit representing one share of Common Stock of the Company. Upon the vesting of this Award pursuant to Paragraph 3</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below, this Award of Restricted Stock Units will be settled by the issuance to you of one share of Common Stock for each Restricted Stock Unit awarded hereunder. This Award is granted effective as of the Grant Date in the table below, subject to the following terms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conditions:</w:t>
      </w:r>
    </w:p>
    <w:p>
      <w:pPr>
        <w:spacing w:after="0" w:line="20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0"/>
          <w:szCs w:val="20"/>
          <w:b w:val="1"/>
          <w:bCs w:val="1"/>
          <w:color w:val="auto"/>
        </w:rPr>
        <w:t xml:space="preserve">Award Details. </w:t>
      </w:r>
      <w:r>
        <w:rPr>
          <w:rFonts w:ascii="Arial" w:cs="Arial" w:eastAsia="Arial" w:hAnsi="Arial"/>
          <w:sz w:val="20"/>
          <w:szCs w:val="20"/>
          <w:color w:val="auto"/>
        </w:rPr>
        <w:t>The number of shares, grant date, and vesting date(s) are as follows:</w:t>
      </w:r>
    </w:p>
    <w:p>
      <w:pPr>
        <w:spacing w:after="0" w:line="209" w:lineRule="exact"/>
        <w:rPr>
          <w:sz w:val="20"/>
          <w:szCs w:val="20"/>
          <w:color w:val="auto"/>
        </w:rPr>
      </w:pPr>
    </w:p>
    <w:tbl>
      <w:tblPr>
        <w:tblLayout w:type="fixed"/>
        <w:tblInd w:w="770" w:type="dxa"/>
        <w:tblCellMar>
          <w:top w:w="0" w:type="dxa"/>
          <w:left w:w="0" w:type="dxa"/>
          <w:bottom w:w="0" w:type="dxa"/>
          <w:right w:w="0" w:type="dxa"/>
        </w:tblCellMar>
      </w:tblPr>
      <w:tr>
        <w:trPr>
          <w:trHeight w:val="256"/>
        </w:trPr>
        <w:tc>
          <w:tcPr>
            <w:tcW w:w="28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Restricted Stock Units</w:t>
            </w:r>
          </w:p>
        </w:tc>
        <w:tc>
          <w:tcPr>
            <w:tcW w:w="69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%%TOTAL_SHARES_GRANTED,'999,999,999'%-%</w:t>
            </w:r>
          </w:p>
        </w:tc>
      </w:tr>
      <w:tr>
        <w:trPr>
          <w:trHeight w:val="250"/>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Grant Date</w:t>
            </w:r>
          </w:p>
        </w:tc>
        <w:tc>
          <w:tcPr>
            <w:tcW w:w="6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%%OPTION_DATE,'Month DD, YYYY'%-%</w:t>
            </w:r>
          </w:p>
        </w:tc>
      </w:tr>
      <w:tr>
        <w:trPr>
          <w:trHeight w:val="250"/>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100% of shares vest on</w:t>
            </w:r>
          </w:p>
        </w:tc>
        <w:tc>
          <w:tcPr>
            <w:tcW w:w="6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%%VEST_DATE_PERIOD1,'Month DD, YYYY'%-%</w:t>
            </w:r>
          </w:p>
        </w:tc>
      </w:tr>
    </w:tbl>
    <w:p>
      <w:pPr>
        <w:spacing w:after="0" w:line="301" w:lineRule="exact"/>
        <w:rPr>
          <w:sz w:val="20"/>
          <w:szCs w:val="20"/>
          <w:color w:val="auto"/>
        </w:rPr>
      </w:pPr>
    </w:p>
    <w:p>
      <w:pPr>
        <w:jc w:val="both"/>
        <w:ind w:left="1300" w:hanging="644"/>
        <w:spacing w:after="0" w:line="241" w:lineRule="auto"/>
        <w:tabs>
          <w:tab w:leader="none" w:pos="1300" w:val="left"/>
        </w:tabs>
        <w:numPr>
          <w:ilvl w:val="0"/>
          <w:numId w:val="25"/>
        </w:numPr>
        <w:rPr>
          <w:rFonts w:ascii="Arial" w:cs="Arial" w:eastAsia="Arial" w:hAnsi="Arial"/>
          <w:sz w:val="19"/>
          <w:szCs w:val="19"/>
          <w:color w:val="auto"/>
        </w:rPr>
      </w:pPr>
      <w:r>
        <w:rPr>
          <w:rFonts w:ascii="Arial" w:cs="Arial" w:eastAsia="Arial" w:hAnsi="Arial"/>
          <w:sz w:val="18"/>
          <w:szCs w:val="18"/>
          <w:b w:val="1"/>
          <w:bCs w:val="1"/>
          <w:color w:val="auto"/>
        </w:rPr>
        <w:t>Relationship to Plan</w:t>
      </w:r>
      <w:r>
        <w:rPr>
          <w:rFonts w:ascii="Arial" w:cs="Arial" w:eastAsia="Arial" w:hAnsi="Arial"/>
          <w:sz w:val="18"/>
          <w:szCs w:val="18"/>
          <w:color w:val="auto"/>
        </w:rPr>
        <w:t>. This Award is subject to all of the terms, conditions and provisions of the Westlake Corporation 2013</w:t>
      </w:r>
      <w:r>
        <w:rPr>
          <w:rFonts w:ascii="Arial" w:cs="Arial" w:eastAsia="Arial" w:hAnsi="Arial"/>
          <w:sz w:val="18"/>
          <w:szCs w:val="18"/>
          <w:b w:val="1"/>
          <w:bCs w:val="1"/>
          <w:color w:val="auto"/>
        </w:rPr>
        <w:t xml:space="preserve"> </w:t>
      </w:r>
      <w:r>
        <w:rPr>
          <w:rFonts w:ascii="Arial" w:cs="Arial" w:eastAsia="Arial" w:hAnsi="Arial"/>
          <w:sz w:val="18"/>
          <w:szCs w:val="18"/>
          <w:color w:val="auto"/>
        </w:rPr>
        <w:t>Omnibus Incentive Plan (As Amended and Restated Effective May 11, 2023) (the “Plan”) and administrative interpretations thereunder, if any, which have been adopted by the Administrator and are in effect on the date hereof. In addition, as a condition to receiving this Award, you agree to be bound by and comply with the Covenants set forth in this Agreement. Except as defined herein, capitalized terms shall have the same meanings ascribed to them under the Plan.</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p>
      <w:pPr>
        <w:spacing w:after="0" w:line="185" w:lineRule="exact"/>
        <w:rPr>
          <w:rFonts w:ascii="Arial" w:cs="Arial" w:eastAsia="Arial" w:hAnsi="Arial"/>
          <w:sz w:val="22"/>
          <w:szCs w:val="22"/>
          <w:color w:val="auto"/>
        </w:rPr>
      </w:pPr>
    </w:p>
    <w:p>
      <w:pPr>
        <w:jc w:val="both"/>
        <w:ind w:left="1960" w:hanging="656"/>
        <w:spacing w:after="0"/>
        <w:tabs>
          <w:tab w:leader="none" w:pos="1960" w:val="left"/>
        </w:tabs>
        <w:numPr>
          <w:ilvl w:val="1"/>
          <w:numId w:val="25"/>
        </w:numPr>
        <w:rPr>
          <w:rFonts w:ascii="Arial" w:cs="Arial" w:eastAsia="Arial" w:hAnsi="Arial"/>
          <w:sz w:val="19"/>
          <w:szCs w:val="19"/>
          <w:color w:val="auto"/>
        </w:rPr>
      </w:pPr>
      <w:r>
        <w:rPr>
          <w:rFonts w:ascii="Arial" w:cs="Arial" w:eastAsia="Arial" w:hAnsi="Arial"/>
          <w:sz w:val="18"/>
          <w:szCs w:val="18"/>
          <w:color w:val="auto"/>
        </w:rPr>
        <w:t>This Award shall vest as outlined in Paragraph 1 above. You must be in continuous regular, full-time employment with the Company or any of its Subsidiaries from the Grant Date through the date this Award is scheduled to vest in order for the Award to vest. During the period of time between the Grant Date and the earlier of the date the Restricted Stock Units vest or are forfeited, the Restricted Stock Units will be evidenced by a book entry account in the Company’s records. Fractional shares will be rounded for purposes of vesting in accordance with Plan policy.</w:t>
      </w:r>
    </w:p>
    <w:p>
      <w:pPr>
        <w:spacing w:after="0" w:line="168" w:lineRule="exact"/>
        <w:rPr>
          <w:rFonts w:ascii="Arial" w:cs="Arial" w:eastAsia="Arial" w:hAnsi="Arial"/>
          <w:sz w:val="19"/>
          <w:szCs w:val="19"/>
          <w:color w:val="auto"/>
        </w:rPr>
      </w:pPr>
    </w:p>
    <w:p>
      <w:pPr>
        <w:jc w:val="both"/>
        <w:ind w:left="1960" w:hanging="656"/>
        <w:spacing w:after="0" w:line="220" w:lineRule="auto"/>
        <w:tabs>
          <w:tab w:leader="none" w:pos="1960" w:val="left"/>
        </w:tabs>
        <w:numPr>
          <w:ilvl w:val="1"/>
          <w:numId w:val="25"/>
        </w:numPr>
        <w:rPr>
          <w:rFonts w:ascii="Arial" w:cs="Arial" w:eastAsia="Arial" w:hAnsi="Arial"/>
          <w:sz w:val="22"/>
          <w:szCs w:val="22"/>
          <w:color w:val="auto"/>
        </w:rPr>
      </w:pPr>
      <w:r>
        <w:rPr>
          <w:rFonts w:ascii="Arial" w:cs="Arial" w:eastAsia="Arial" w:hAnsi="Arial"/>
          <w:sz w:val="20"/>
          <w:szCs w:val="20"/>
          <w:color w:val="auto"/>
        </w:rPr>
        <w:t>All Restricted Stock Units subject to this Award shall vest, irrespective of the limitations set forth in subparagraph(a) above, in the event of your termination of employment with the Company or any of its Subsidiaries due to death.</w:t>
      </w:r>
    </w:p>
    <w:p>
      <w:pPr>
        <w:spacing w:after="0" w:line="183" w:lineRule="exact"/>
        <w:rPr>
          <w:rFonts w:ascii="Arial" w:cs="Arial" w:eastAsia="Arial" w:hAnsi="Arial"/>
          <w:sz w:val="22"/>
          <w:szCs w:val="22"/>
          <w:color w:val="auto"/>
        </w:rPr>
      </w:pPr>
    </w:p>
    <w:p>
      <w:pPr>
        <w:ind w:left="1960" w:hanging="656"/>
        <w:spacing w:after="0" w:line="225" w:lineRule="auto"/>
        <w:tabs>
          <w:tab w:leader="none" w:pos="1960" w:val="left"/>
        </w:tabs>
        <w:numPr>
          <w:ilvl w:val="1"/>
          <w:numId w:val="25"/>
        </w:numPr>
        <w:rPr>
          <w:rFonts w:ascii="Arial" w:cs="Arial" w:eastAsia="Arial" w:hAnsi="Arial"/>
          <w:sz w:val="22"/>
          <w:szCs w:val="22"/>
          <w:color w:val="auto"/>
        </w:rPr>
      </w:pPr>
      <w:r>
        <w:rPr>
          <w:rFonts w:ascii="Arial" w:cs="Arial" w:eastAsia="Arial" w:hAnsi="Arial"/>
          <w:sz w:val="20"/>
          <w:szCs w:val="20"/>
          <w:color w:val="auto"/>
        </w:rPr>
        <w:t>Irrespective of the limitations set forth in subparagraph(a) above, in the event of your termination of employment with the Company or any of its Subsidiaries due</w:t>
      </w:r>
    </w:p>
    <w:p>
      <w:pPr>
        <w:sectPr>
          <w:pgSz w:w="11900" w:h="16838" w:orient="portrait"/>
          <w:cols w:equalWidth="0" w:num="1">
            <w:col w:w="11240"/>
          </w:cols>
          <w:pgMar w:left="320" w:top="1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to Normal Retirement, the Restricted Stock Units subject to this Award shall immediately vest, with such amount</w:t>
      </w:r>
    </w:p>
    <w:p>
      <w:pPr>
        <w:jc w:val="both"/>
        <w:ind w:left="1304"/>
        <w:spacing w:after="0" w:line="226" w:lineRule="auto"/>
        <w:rPr>
          <w:sz w:val="20"/>
          <w:szCs w:val="20"/>
          <w:color w:val="auto"/>
        </w:rPr>
      </w:pPr>
      <w:r>
        <w:rPr>
          <w:rFonts w:ascii="Arial" w:cs="Arial" w:eastAsia="Arial" w:hAnsi="Arial"/>
          <w:sz w:val="18"/>
          <w:szCs w:val="18"/>
          <w:color w:val="auto"/>
        </w:rPr>
        <w:t>multiplied by a fraction, the numerator of which is the number of days of employment with the Company or any of its Subsidiaries you completed after the Grant Date and prior to your Normal Retirement, and the denominator of</w:t>
      </w:r>
    </w:p>
    <w:p>
      <w:pPr>
        <w:jc w:val="right"/>
        <w:spacing w:after="0" w:line="213" w:lineRule="auto"/>
        <w:rPr>
          <w:sz w:val="20"/>
          <w:szCs w:val="20"/>
          <w:color w:val="auto"/>
        </w:rPr>
      </w:pPr>
      <w:r>
        <w:rPr>
          <w:rFonts w:ascii="Arial" w:cs="Arial" w:eastAsia="Arial" w:hAnsi="Arial"/>
          <w:sz w:val="20"/>
          <w:szCs w:val="20"/>
          <w:color w:val="auto"/>
        </w:rPr>
        <w:t>which is the total number of days in the period from the Grant Date to the date this Award is scheduled to vest. For</w:t>
      </w:r>
    </w:p>
    <w:p>
      <w:pPr>
        <w:jc w:val="both"/>
        <w:ind w:left="1304"/>
        <w:spacing w:after="0" w:line="226" w:lineRule="auto"/>
        <w:rPr>
          <w:sz w:val="20"/>
          <w:szCs w:val="20"/>
          <w:color w:val="auto"/>
        </w:rPr>
      </w:pPr>
      <w:r>
        <w:rPr>
          <w:rFonts w:ascii="Arial" w:cs="Arial" w:eastAsia="Arial" w:hAnsi="Arial"/>
          <w:sz w:val="18"/>
          <w:szCs w:val="18"/>
          <w:color w:val="auto"/>
        </w:rPr>
        <w:t>purposes of this Award, “Normal Retirement” shall mean your termination from employment with the Company and its Subsidiaries for any reason after you have (a) attained at least 65 years of age, and (b) been employed by the</w:t>
      </w:r>
    </w:p>
    <w:p>
      <w:pPr>
        <w:spacing w:after="0" w:line="2"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Company or a Subsidiary for a continuous period of 10 years or more ending on the date of your termination.</w:t>
      </w:r>
    </w:p>
    <w:p>
      <w:pPr>
        <w:spacing w:after="0" w:line="192" w:lineRule="exact"/>
        <w:rPr>
          <w:sz w:val="20"/>
          <w:szCs w:val="20"/>
          <w:color w:val="auto"/>
        </w:rPr>
      </w:pPr>
    </w:p>
    <w:p>
      <w:pPr>
        <w:ind w:left="644" w:hanging="644"/>
        <w:spacing w:after="0" w:line="228" w:lineRule="auto"/>
        <w:tabs>
          <w:tab w:leader="none" w:pos="644" w:val="left"/>
        </w:tabs>
        <w:numPr>
          <w:ilvl w:val="0"/>
          <w:numId w:val="26"/>
        </w:numPr>
        <w:rPr>
          <w:rFonts w:ascii="Arial" w:cs="Arial" w:eastAsia="Arial" w:hAnsi="Arial"/>
          <w:sz w:val="22"/>
          <w:szCs w:val="22"/>
          <w:color w:val="auto"/>
        </w:rPr>
      </w:pPr>
      <w:r>
        <w:rPr>
          <w:rFonts w:ascii="Arial" w:cs="Arial" w:eastAsia="Arial" w:hAnsi="Arial"/>
          <w:sz w:val="20"/>
          <w:szCs w:val="20"/>
          <w:b w:val="1"/>
          <w:bCs w:val="1"/>
          <w:color w:val="auto"/>
        </w:rPr>
        <w:t>Forfeiture of Award</w:t>
      </w:r>
      <w:r>
        <w:rPr>
          <w:rFonts w:ascii="Arial" w:cs="Arial" w:eastAsia="Arial" w:hAnsi="Arial"/>
          <w:sz w:val="20"/>
          <w:szCs w:val="20"/>
          <w:color w:val="auto"/>
        </w:rPr>
        <w:t>. If your employment terminates other than by reason of death or Normal Retirement, all unvested</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as of the termination date shall be forfeited.</w:t>
      </w:r>
    </w:p>
    <w:p>
      <w:pPr>
        <w:spacing w:after="0" w:line="162" w:lineRule="exact"/>
        <w:rPr>
          <w:rFonts w:ascii="Arial" w:cs="Arial" w:eastAsia="Arial" w:hAnsi="Arial"/>
          <w:sz w:val="22"/>
          <w:szCs w:val="22"/>
          <w:color w:val="auto"/>
        </w:rPr>
      </w:pPr>
    </w:p>
    <w:p>
      <w:pPr>
        <w:jc w:val="both"/>
        <w:ind w:left="644" w:hanging="644"/>
        <w:spacing w:after="0" w:line="225" w:lineRule="auto"/>
        <w:tabs>
          <w:tab w:leader="none" w:pos="644" w:val="left"/>
        </w:tabs>
        <w:numPr>
          <w:ilvl w:val="0"/>
          <w:numId w:val="26"/>
        </w:numPr>
        <w:rPr>
          <w:rFonts w:ascii="Arial" w:cs="Arial" w:eastAsia="Arial" w:hAnsi="Arial"/>
          <w:sz w:val="21"/>
          <w:szCs w:val="21"/>
          <w:color w:val="auto"/>
        </w:rPr>
      </w:pPr>
      <w:r>
        <w:rPr>
          <w:rFonts w:ascii="Arial" w:cs="Arial" w:eastAsia="Arial" w:hAnsi="Arial"/>
          <w:sz w:val="19"/>
          <w:szCs w:val="19"/>
          <w:b w:val="1"/>
          <w:bCs w:val="1"/>
          <w:color w:val="auto"/>
        </w:rPr>
        <w:t>Distribution Following Termination of Restrictions</w:t>
      </w:r>
      <w:r>
        <w:rPr>
          <w:rFonts w:ascii="Arial" w:cs="Arial" w:eastAsia="Arial" w:hAnsi="Arial"/>
          <w:sz w:val="19"/>
          <w:szCs w:val="19"/>
          <w:color w:val="auto"/>
        </w:rPr>
        <w:t>. Subject to the other provisions of this Award and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shall vest as set forth in Paragraph 3, and shares of Common Stock shall be distributed to you (or your beneficiary) as soon as practicable after the Restricted Stock Units vest, but in no event later than the end of March of the year following the year in which the Restricted Stock Units vest. Distribution of Common Stock will be subject to withholding taxes as described in Paragraph 6, and may be in a form selected by the Company, in its discretion, including deposit into a custodial account or delivery of a stock certificate.</w:t>
      </w:r>
    </w:p>
    <w:p>
      <w:pPr>
        <w:spacing w:after="0" w:line="172" w:lineRule="exact"/>
        <w:rPr>
          <w:rFonts w:ascii="Arial" w:cs="Arial" w:eastAsia="Arial" w:hAnsi="Arial"/>
          <w:sz w:val="21"/>
          <w:szCs w:val="21"/>
          <w:color w:val="auto"/>
        </w:rPr>
      </w:pPr>
    </w:p>
    <w:p>
      <w:pPr>
        <w:ind w:left="644" w:right="80"/>
        <w:spacing w:after="0" w:line="223" w:lineRule="auto"/>
        <w:rPr>
          <w:rFonts w:ascii="Arial" w:cs="Arial" w:eastAsia="Arial" w:hAnsi="Arial"/>
          <w:sz w:val="21"/>
          <w:szCs w:val="21"/>
          <w:color w:val="auto"/>
        </w:rPr>
      </w:pPr>
      <w:r>
        <w:rPr>
          <w:rFonts w:ascii="Arial" w:cs="Arial" w:eastAsia="Arial" w:hAnsi="Arial"/>
          <w:sz w:val="20"/>
          <w:szCs w:val="20"/>
          <w:color w:val="auto"/>
        </w:rPr>
        <w:t>Effective January 1, 2009, the Company adopted a “Stock Ownership Policy,” as amended from time to time, that may require you to retain a portion of any shares of Common Stock distributed to you in settlement of the Restricted Stock Units. Please refer to the Stock Ownership Policy for more details.</w:t>
      </w:r>
    </w:p>
    <w:p>
      <w:pPr>
        <w:spacing w:after="0" w:line="176" w:lineRule="exact"/>
        <w:rPr>
          <w:rFonts w:ascii="Arial" w:cs="Arial" w:eastAsia="Arial" w:hAnsi="Arial"/>
          <w:sz w:val="21"/>
          <w:szCs w:val="21"/>
          <w:color w:val="auto"/>
        </w:rPr>
      </w:pPr>
    </w:p>
    <w:p>
      <w:pPr>
        <w:jc w:val="both"/>
        <w:ind w:left="644" w:hanging="644"/>
        <w:spacing w:after="0" w:line="237" w:lineRule="auto"/>
        <w:tabs>
          <w:tab w:leader="none" w:pos="644" w:val="left"/>
        </w:tabs>
        <w:numPr>
          <w:ilvl w:val="0"/>
          <w:numId w:val="26"/>
        </w:numPr>
        <w:rPr>
          <w:rFonts w:ascii="Arial" w:cs="Arial" w:eastAsia="Arial" w:hAnsi="Arial"/>
          <w:sz w:val="19"/>
          <w:szCs w:val="19"/>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Upon the settlement of the Restricted Stock Units, you are authorized to surrender to the Company, or have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from the Common Stock that otherwise would have been delivered to you, an appropriate number of shares of Common Stock, having a Fair Market Value determined in accordance with the Plan, equal to the amount necessary to satisfy any tax withholding obligation arising with respect to your Restricted Stock Units. The Company has no discretion to refuse to accept or withhold the shares of Common Stock. The authorization provided pursuant to this Paragraph 6 is intended to make the transaction exempt under Rule 16b-3 under the Securities Exchange Act of 1934.</w:t>
      </w:r>
    </w:p>
    <w:p>
      <w:pPr>
        <w:spacing w:after="0" w:line="179"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26"/>
        </w:numPr>
        <w:rPr>
          <w:rFonts w:ascii="Arial" w:cs="Arial" w:eastAsia="Arial" w:hAnsi="Arial"/>
          <w:sz w:val="21"/>
          <w:szCs w:val="21"/>
          <w:color w:val="auto"/>
        </w:rPr>
      </w:pPr>
      <w:r>
        <w:rPr>
          <w:rFonts w:ascii="Arial" w:cs="Arial" w:eastAsia="Arial" w:hAnsi="Arial"/>
          <w:sz w:val="19"/>
          <w:szCs w:val="19"/>
          <w:b w:val="1"/>
          <w:bCs w:val="1"/>
          <w:color w:val="auto"/>
        </w:rPr>
        <w:t>Covenant Not to Solicit and Covenant Not to Disclose Confidential Information</w:t>
      </w:r>
      <w:r>
        <w:rPr>
          <w:rFonts w:ascii="Arial" w:cs="Arial" w:eastAsia="Arial" w:hAnsi="Arial"/>
          <w:sz w:val="19"/>
          <w:szCs w:val="19"/>
          <w:color w:val="auto"/>
        </w:rPr>
        <w:t>. You acknowledge that your</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requires you to have access to and possess confidential and/or trade secret information (“Confidential Information”), including the Company’s financial, commercial, and/or technical information, pricing, suppliers, marketing, research and development, and/or other proprietary information about the Company’s business products or services, and you will continue to have such access and possession during your employment with the Company. You acknowledge that the Company’s business, products, and services are highly specialized and that it is essential that they be protected. Accordingly, you agree to the following covenants (collectively, the “Covenants”):</w:t>
      </w:r>
    </w:p>
    <w:p>
      <w:pPr>
        <w:spacing w:after="0" w:line="183" w:lineRule="exact"/>
        <w:rPr>
          <w:rFonts w:ascii="Arial" w:cs="Arial" w:eastAsia="Arial" w:hAnsi="Arial"/>
          <w:sz w:val="21"/>
          <w:szCs w:val="21"/>
          <w:color w:val="auto"/>
        </w:rPr>
      </w:pPr>
    </w:p>
    <w:p>
      <w:pPr>
        <w:ind w:left="1304" w:hanging="656"/>
        <w:spacing w:after="0" w:line="271" w:lineRule="auto"/>
        <w:tabs>
          <w:tab w:leader="none" w:pos="1304" w:val="left"/>
        </w:tabs>
        <w:numPr>
          <w:ilvl w:val="1"/>
          <w:numId w:val="26"/>
        </w:numPr>
        <w:rPr>
          <w:rFonts w:ascii="Arial" w:cs="Arial" w:eastAsia="Arial" w:hAnsi="Arial"/>
          <w:sz w:val="19"/>
          <w:szCs w:val="19"/>
          <w:color w:val="auto"/>
        </w:rPr>
      </w:pPr>
      <w:r>
        <w:rPr>
          <w:rFonts w:ascii="Arial" w:cs="Arial" w:eastAsia="Arial" w:hAnsi="Arial"/>
          <w:sz w:val="18"/>
          <w:szCs w:val="18"/>
          <w:color w:val="auto"/>
        </w:rPr>
        <w:t>You shall not, during your employment with the Company or thereafter, disclose or use at any time for your personal benefit or advantage or for the benefit or advantage of any other person, company, or legal entity, any Confidential</w:t>
      </w:r>
    </w:p>
    <w:p>
      <w:pPr>
        <w:sectPr>
          <w:pgSz w:w="11900" w:h="16838" w:orient="portrait"/>
          <w:cols w:equalWidth="0" w:num="1">
            <w:col w:w="10584"/>
          </w:cols>
          <w:pgMar w:left="976" w:top="1394" w:right="339" w:bottom="1440" w:gutter="0" w:footer="0" w:header="0"/>
        </w:sectPr>
      </w:pPr>
    </w:p>
    <w:bookmarkStart w:id="50" w:name="page51"/>
    <w:bookmarkEnd w:id="50"/>
    <w:p>
      <w:pPr>
        <w:ind w:left="1304"/>
        <w:spacing w:after="0"/>
        <w:rPr>
          <w:sz w:val="20"/>
          <w:szCs w:val="20"/>
          <w:color w:val="auto"/>
        </w:rPr>
      </w:pPr>
      <w:r>
        <w:rPr>
          <w:rFonts w:ascii="Arial" w:cs="Arial" w:eastAsia="Arial" w:hAnsi="Arial"/>
          <w:sz w:val="20"/>
          <w:szCs w:val="20"/>
          <w:color w:val="auto"/>
        </w:rPr>
        <w:t>Information of which you are or become aware during your employment with the Company; and</w:t>
      </w:r>
    </w:p>
    <w:p>
      <w:pPr>
        <w:spacing w:after="0" w:line="202" w:lineRule="exact"/>
        <w:rPr>
          <w:sz w:val="20"/>
          <w:szCs w:val="20"/>
          <w:color w:val="auto"/>
        </w:rPr>
      </w:pPr>
    </w:p>
    <w:p>
      <w:pPr>
        <w:jc w:val="both"/>
        <w:ind w:left="1304" w:hanging="656"/>
        <w:spacing w:after="0" w:line="214" w:lineRule="auto"/>
        <w:tabs>
          <w:tab w:leader="none" w:pos="1304" w:val="left"/>
        </w:tabs>
        <w:numPr>
          <w:ilvl w:val="0"/>
          <w:numId w:val="27"/>
        </w:numPr>
        <w:rPr>
          <w:rFonts w:ascii="Arial" w:cs="Arial" w:eastAsia="Arial" w:hAnsi="Arial"/>
          <w:sz w:val="22"/>
          <w:szCs w:val="22"/>
          <w:color w:val="auto"/>
        </w:rPr>
      </w:pPr>
      <w:r>
        <w:rPr>
          <w:rFonts w:ascii="Arial" w:cs="Arial" w:eastAsia="Arial" w:hAnsi="Arial"/>
          <w:sz w:val="20"/>
          <w:szCs w:val="20"/>
          <w:color w:val="auto"/>
        </w:rPr>
        <w:t>You shall not in any way, during your employment with the Company and for a period of one year thereafter, solicit or divert, directly or indirectly, or attempt to solicit or divert (i) any employee of the Company to terminate his or her employment relationship with the Company; or (ii) any customer or prospective customer of the Company with whom you have had material, business-related contact or dealings during the last two (2) years preceding your separation from the Company.</w:t>
      </w:r>
    </w:p>
    <w:p>
      <w:pPr>
        <w:spacing w:after="0" w:line="156" w:lineRule="exact"/>
        <w:rPr>
          <w:sz w:val="20"/>
          <w:szCs w:val="20"/>
          <w:color w:val="auto"/>
        </w:rPr>
      </w:pPr>
    </w:p>
    <w:p>
      <w:pPr>
        <w:ind w:left="644"/>
        <w:spacing w:after="0" w:line="244" w:lineRule="auto"/>
        <w:rPr>
          <w:sz w:val="20"/>
          <w:szCs w:val="20"/>
          <w:color w:val="auto"/>
        </w:rPr>
      </w:pPr>
      <w:r>
        <w:rPr>
          <w:rFonts w:ascii="Arial" w:cs="Arial" w:eastAsia="Arial" w:hAnsi="Arial"/>
          <w:sz w:val="18"/>
          <w:szCs w:val="18"/>
          <w:color w:val="auto"/>
        </w:rPr>
        <w:t>You agree that you have received good and valuable consideration for these Covenants, including without limitation, the right to acquire and own Company securities, your continued employment with the Company, and other good and valuable</w:t>
      </w:r>
    </w:p>
    <w:p>
      <w:pPr>
        <w:ind w:left="644"/>
        <w:spacing w:after="0" w:line="226" w:lineRule="auto"/>
        <w:rPr>
          <w:sz w:val="20"/>
          <w:szCs w:val="20"/>
          <w:color w:val="auto"/>
        </w:rPr>
      </w:pPr>
      <w:r>
        <w:rPr>
          <w:rFonts w:ascii="Arial" w:cs="Arial" w:eastAsia="Arial" w:hAnsi="Arial"/>
          <w:sz w:val="18"/>
          <w:szCs w:val="18"/>
          <w:color w:val="auto"/>
        </w:rPr>
        <w:t>consideration. These Covenants will survive the grant, vesting, or termination of the Restricted Stock Units and will extend beyond the end of your employment, regardless of the cause of your separation from the Company. In addition, these</w:t>
      </w:r>
    </w:p>
    <w:p>
      <w:pPr>
        <w:spacing w:after="0" w:line="2" w:lineRule="exact"/>
        <w:rPr>
          <w:sz w:val="20"/>
          <w:szCs w:val="20"/>
          <w:color w:val="auto"/>
        </w:rPr>
      </w:pPr>
    </w:p>
    <w:p>
      <w:pPr>
        <w:ind w:left="644"/>
        <w:spacing w:after="0" w:line="227" w:lineRule="auto"/>
        <w:rPr>
          <w:sz w:val="20"/>
          <w:szCs w:val="20"/>
          <w:color w:val="auto"/>
        </w:rPr>
      </w:pPr>
      <w:r>
        <w:rPr>
          <w:rFonts w:ascii="Arial" w:cs="Arial" w:eastAsia="Arial" w:hAnsi="Arial"/>
          <w:sz w:val="20"/>
          <w:szCs w:val="20"/>
          <w:color w:val="auto"/>
        </w:rPr>
        <w:t>Covenants will inure to the benefit of the Company’s subsidiaries, affiliates, successors and assigns, and may be enforced by any one or more of the same, without the need of any further agreement from or with you.</w:t>
      </w:r>
    </w:p>
    <w:p>
      <w:pPr>
        <w:spacing w:after="0" w:line="164" w:lineRule="exact"/>
        <w:rPr>
          <w:sz w:val="20"/>
          <w:szCs w:val="20"/>
          <w:color w:val="auto"/>
        </w:rPr>
      </w:pPr>
    </w:p>
    <w:p>
      <w:pPr>
        <w:jc w:val="both"/>
        <w:ind w:left="644" w:hanging="644"/>
        <w:spacing w:after="0" w:line="222"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 xml:space="preserve">Assignment of Award. </w:t>
      </w:r>
      <w:r>
        <w:rPr>
          <w:rFonts w:ascii="Arial" w:cs="Arial" w:eastAsia="Arial" w:hAnsi="Arial"/>
          <w:sz w:val="20"/>
          <w:szCs w:val="20"/>
          <w:color w:val="auto"/>
        </w:rPr>
        <w:t>Your rights under the Plan and this Restricted Stock Unit Award are personal; no assignment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your rights under and interest in this Award may be made by you other than by will or by the laws of descent and distribution.</w:t>
      </w:r>
    </w:p>
    <w:p>
      <w:pPr>
        <w:spacing w:after="0" w:line="177" w:lineRule="exact"/>
        <w:rPr>
          <w:rFonts w:ascii="Arial" w:cs="Arial" w:eastAsia="Arial" w:hAnsi="Arial"/>
          <w:sz w:val="22"/>
          <w:szCs w:val="22"/>
          <w:color w:val="auto"/>
        </w:rPr>
      </w:pPr>
    </w:p>
    <w:p>
      <w:pPr>
        <w:jc w:val="both"/>
        <w:ind w:left="644" w:hanging="644"/>
        <w:spacing w:after="0" w:line="218"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You are entitled to receive Dividend Equivalents paid in cash with respect to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Grant Date until the earlier of the date that Common Stock is delivered to you in satisfaction of this Award or the date this Award is forfeited.</w:t>
      </w:r>
    </w:p>
    <w:p>
      <w:pPr>
        <w:spacing w:after="0" w:line="175" w:lineRule="exact"/>
        <w:rPr>
          <w:rFonts w:ascii="Arial" w:cs="Arial" w:eastAsia="Arial" w:hAnsi="Arial"/>
          <w:sz w:val="22"/>
          <w:szCs w:val="22"/>
          <w:color w:val="auto"/>
        </w:rPr>
      </w:pPr>
    </w:p>
    <w:p>
      <w:pPr>
        <w:ind w:left="644" w:hanging="644"/>
        <w:spacing w:after="0" w:line="228"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 xml:space="preserve">Voting Rights. </w:t>
      </w:r>
      <w:r>
        <w:rPr>
          <w:rFonts w:ascii="Arial" w:cs="Arial" w:eastAsia="Arial" w:hAnsi="Arial"/>
          <w:sz w:val="20"/>
          <w:szCs w:val="20"/>
          <w:color w:val="auto"/>
        </w:rPr>
        <w:t>You do not have voting rights with respect to the Restricted Stock Units. You will be entitled to vote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you retain that are issued to you in settlement of this Award.</w:t>
      </w:r>
    </w:p>
    <w:p>
      <w:pPr>
        <w:spacing w:after="0" w:line="175" w:lineRule="exact"/>
        <w:rPr>
          <w:rFonts w:ascii="Arial" w:cs="Arial" w:eastAsia="Arial" w:hAnsi="Arial"/>
          <w:sz w:val="22"/>
          <w:szCs w:val="22"/>
          <w:color w:val="auto"/>
        </w:rPr>
      </w:pPr>
    </w:p>
    <w:p>
      <w:pPr>
        <w:ind w:left="644" w:hanging="644"/>
        <w:spacing w:after="0" w:line="228" w:lineRule="auto"/>
        <w:tabs>
          <w:tab w:leader="none" w:pos="636"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No Employment Guaranteed</w:t>
      </w:r>
      <w:r>
        <w:rPr>
          <w:rFonts w:ascii="Arial" w:cs="Arial" w:eastAsia="Arial" w:hAnsi="Arial"/>
          <w:sz w:val="20"/>
          <w:szCs w:val="20"/>
          <w:color w:val="auto"/>
        </w:rPr>
        <w:t>. No provision of this Restricted Stock Unit Award shall give you any right to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or any Subsidiary.</w:t>
      </w:r>
    </w:p>
    <w:p>
      <w:pPr>
        <w:spacing w:after="0" w:line="162" w:lineRule="exact"/>
        <w:rPr>
          <w:rFonts w:ascii="Arial" w:cs="Arial" w:eastAsia="Arial" w:hAnsi="Arial"/>
          <w:sz w:val="22"/>
          <w:szCs w:val="22"/>
          <w:color w:val="auto"/>
        </w:rPr>
      </w:pPr>
    </w:p>
    <w:p>
      <w:pPr>
        <w:jc w:val="both"/>
        <w:ind w:left="644" w:hanging="644"/>
        <w:spacing w:after="0" w:line="214"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Requirements of Law and Stock Exchanges</w:t>
      </w:r>
      <w:r>
        <w:rPr>
          <w:rFonts w:ascii="Arial" w:cs="Arial" w:eastAsia="Arial" w:hAnsi="Arial"/>
          <w:sz w:val="20"/>
          <w:szCs w:val="20"/>
          <w:color w:val="auto"/>
        </w:rPr>
        <w:t>. Your rights to the Restricted Stock Units and the issuance and delivery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to which such Restricted Stock Units relate are subject to compliance with all applicable requirements of law. In addition, the Company shall not be obligated to deliver any shares of Common Stock if counsel to the Company determines that such delivery would violate any applicable law or any rule or regulations of any governmental authority or any rule or regulation of, or agreement of the Company with, any securities exchange or association upon which the Common Stock is listed or quoted.</w:t>
      </w:r>
    </w:p>
    <w:p>
      <w:pPr>
        <w:spacing w:after="0" w:line="166" w:lineRule="exact"/>
        <w:rPr>
          <w:rFonts w:ascii="Arial" w:cs="Arial" w:eastAsia="Arial" w:hAnsi="Arial"/>
          <w:sz w:val="22"/>
          <w:szCs w:val="22"/>
          <w:color w:val="auto"/>
        </w:rPr>
      </w:pPr>
    </w:p>
    <w:p>
      <w:pPr>
        <w:ind w:left="644" w:hanging="644"/>
        <w:spacing w:after="0" w:line="228"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Restricted Stock Unit Award shall be governed by, construed, and enforced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Texas.</w:t>
      </w:r>
    </w:p>
    <w:p>
      <w:pPr>
        <w:spacing w:after="0" w:line="175" w:lineRule="exact"/>
        <w:rPr>
          <w:rFonts w:ascii="Arial" w:cs="Arial" w:eastAsia="Arial" w:hAnsi="Arial"/>
          <w:sz w:val="22"/>
          <w:szCs w:val="22"/>
          <w:color w:val="auto"/>
        </w:rPr>
      </w:pPr>
    </w:p>
    <w:p>
      <w:pPr>
        <w:jc w:val="both"/>
        <w:ind w:left="644" w:hanging="644"/>
        <w:spacing w:after="0" w:line="222" w:lineRule="auto"/>
        <w:tabs>
          <w:tab w:leader="none" w:pos="644" w:val="left"/>
        </w:tabs>
        <w:numPr>
          <w:ilvl w:val="0"/>
          <w:numId w:val="28"/>
        </w:numPr>
        <w:rPr>
          <w:rFonts w:ascii="Arial" w:cs="Arial" w:eastAsia="Arial" w:hAnsi="Arial"/>
          <w:sz w:val="22"/>
          <w:szCs w:val="22"/>
          <w:color w:val="auto"/>
        </w:rPr>
      </w:pPr>
      <w:r>
        <w:rPr>
          <w:rFonts w:ascii="Arial" w:cs="Arial" w:eastAsia="Arial" w:hAnsi="Arial"/>
          <w:sz w:val="20"/>
          <w:szCs w:val="20"/>
          <w:b w:val="1"/>
          <w:bCs w:val="1"/>
          <w:color w:val="auto"/>
        </w:rPr>
        <w:t>Clawback or Recoupment</w:t>
      </w:r>
      <w:r>
        <w:rPr>
          <w:rFonts w:ascii="Arial" w:cs="Arial" w:eastAsia="Arial" w:hAnsi="Arial"/>
          <w:sz w:val="20"/>
          <w:szCs w:val="20"/>
          <w:color w:val="auto"/>
        </w:rPr>
        <w:t>. This Restricted Stock Unit Award, any shares of Common Stock distributed hereunder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profits realized on the sale of such shares are subject to clawback or recoupment as required by applicable law or Company policy.</w:t>
      </w:r>
    </w:p>
    <w:p>
      <w:pPr>
        <w:sectPr>
          <w:pgSz w:w="11900" w:h="16838" w:orient="portrait"/>
          <w:cols w:equalWidth="0" w:num="1">
            <w:col w:w="10584"/>
          </w:cols>
          <w:pgMar w:left="976" w:top="1405" w:right="339" w:bottom="1440" w:gutter="0" w:footer="0" w:header="0"/>
        </w:sectPr>
      </w:pPr>
    </w:p>
    <w:bookmarkStart w:id="51" w:name="page52"/>
    <w:bookmarkEnd w:id="51"/>
    <w:p>
      <w:pPr>
        <w:jc w:val="both"/>
        <w:ind w:left="1300" w:hanging="644"/>
        <w:spacing w:after="0" w:line="233" w:lineRule="auto"/>
        <w:tabs>
          <w:tab w:leader="none" w:pos="1300" w:val="left"/>
        </w:tabs>
        <w:numPr>
          <w:ilvl w:val="0"/>
          <w:numId w:val="29"/>
        </w:numPr>
        <w:rPr>
          <w:rFonts w:ascii="Arial" w:cs="Arial" w:eastAsia="Arial" w:hAnsi="Arial"/>
          <w:sz w:val="19"/>
          <w:szCs w:val="19"/>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 This Award is intended to be exempt from or to comply with the provisions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(“Section 409A”) and the provisions of this Award shall be administered, interpreted and construed accordingly. Specifically, (i) if you are not Normal Retirement Eligible, the distribution of the Common Stock upon the time of payment specified in Paragraph 5 is exempt from Section 409A as a short-term deferral in compliance with Treasury Regulation Section 1.409A-1(b)(4), and (ii) if you are Normal Retirement Eligible, the time of payment specified with respect to Paragraph 5 is compliant with Treasury Regulation Section 1.409A-3(c)(2) and is compliant with Section 409A as being paid pursuant to a specified time or fixed schedule under Treasury Regulation Section 1.409A-3(i). You will not be considered to have a termination from employment unless such termination meets the requirements for a “separation from service” within the meaning of U.S. Treasury Regulation Section 1.409A-1(h), if applicable. If you are Normal Retirement Eligible and the issuance and delivery of the Common Stock hereunder would be subject to additional taxes and interest under Section 409A because the timing of such payment is not delayed as provided in Section 409A(a)(2)(B) of the Code, then the issuance and delivery of the Common Stock hereunder shall be made on the date that is six months and one day after the date of your Normal Retirement (or if such date does not fall on a business day of the Company, the next following business day of the Company), or such earlier date upon which such amount can be paid or provided under Section 409A without being subject to such additional taxes and interest. For purposes of this Award, “Normal Retirement Eligible” shall mean that you meet the age and service requirements for eligibility for Normal Retirement prior to the calendar year in which any part of this Award is scheduled to vest pursuant to Paragraph 3(a).</w:t>
      </w:r>
    </w:p>
    <w:p>
      <w:pPr>
        <w:spacing w:after="0" w:line="177" w:lineRule="exact"/>
        <w:rPr>
          <w:rFonts w:ascii="Arial" w:cs="Arial" w:eastAsia="Arial" w:hAnsi="Arial"/>
          <w:sz w:val="19"/>
          <w:szCs w:val="19"/>
          <w:color w:val="auto"/>
        </w:rPr>
      </w:pPr>
    </w:p>
    <w:p>
      <w:pPr>
        <w:jc w:val="both"/>
        <w:ind w:left="1300" w:hanging="644"/>
        <w:spacing w:after="0" w:line="219" w:lineRule="auto"/>
        <w:tabs>
          <w:tab w:leader="none" w:pos="1300" w:val="left"/>
        </w:tabs>
        <w:numPr>
          <w:ilvl w:val="0"/>
          <w:numId w:val="29"/>
        </w:numPr>
        <w:rPr>
          <w:rFonts w:ascii="Arial" w:cs="Arial" w:eastAsia="Arial" w:hAnsi="Arial"/>
          <w:sz w:val="21"/>
          <w:szCs w:val="21"/>
          <w:color w:val="auto"/>
        </w:rPr>
      </w:pPr>
      <w:r>
        <w:rPr>
          <w:rFonts w:ascii="Arial" w:cs="Arial" w:eastAsia="Arial" w:hAnsi="Arial"/>
          <w:sz w:val="19"/>
          <w:szCs w:val="19"/>
          <w:b w:val="1"/>
          <w:bCs w:val="1"/>
          <w:color w:val="auto"/>
        </w:rPr>
        <w:t>Parachute Payments</w:t>
      </w:r>
      <w:r>
        <w:rPr>
          <w:rFonts w:ascii="Arial" w:cs="Arial" w:eastAsia="Arial" w:hAnsi="Arial"/>
          <w:sz w:val="19"/>
          <w:szCs w:val="19"/>
          <w:color w:val="auto"/>
        </w:rPr>
        <w:t>. In the event it is determined that any payment or benefit by the Company to you or for your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paid or payable or distributed or distributable pursuant to the terms of this Award or otherwise, would be subject to the excise tax imposed by Section 4999 of the Code or any interest or penalties with respect to such excise tax (such excise tax, together with any such interest and penalties, are hereinafter collectively referred to as the “Excise Tax”), the Company shall first make a calculation under which such payments or benefits provided to you are reduced to the extent necessary so that no portion thereof shall be subject to the excise tax imposed by Section 4999 of the Code (the “4999 Limit”). The Company shall then compare (x) your Net After-Tax Benefit assuming application of the 4999 Limit with (y) your Net After-Tax Benefit without the application of the 4999 Limit and you shall be entitled to the greater of (x) or (y). “Net After-Tax Benefit” shall mean the sum of (i) all payments and benefits which you receive or are then entitled to receive from the Company, less (ii) the amount of federal income taxes payable with respect to the payments and benefits described in (i) above calculated at the maximum marginal income tax rate for each year in which such payments and benefits shall be paid to you (based upon the rate for such year as set forth in the Code at the time of the first payment of the foregoing), less (iii) the amount of excise taxes imposed with respect to the payments and benefits described in (i) above by Section 4999 of the Code. The determination of whether a payment or benefit constitutes an excess parachute payment shall be made by tax counsel selected by the Company.</w:t>
      </w:r>
    </w:p>
    <w:p>
      <w:pPr>
        <w:spacing w:after="0" w:line="200" w:lineRule="exact"/>
        <w:rPr>
          <w:sz w:val="20"/>
          <w:szCs w:val="20"/>
          <w:color w:val="auto"/>
        </w:rPr>
      </w:pPr>
    </w:p>
    <w:p>
      <w:pPr>
        <w:spacing w:after="0" w:line="2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conjunction with this Award we are required to provide you with the latest relevant SEC filings by the Company; therefore, we refer you to the SEC Filings section of our web page, www.westlake.com. If you have any questions regarding this Award, you may contact the Total</w:t>
      </w:r>
    </w:p>
    <w:p>
      <w:pPr>
        <w:spacing w:after="0"/>
        <w:rPr>
          <w:sz w:val="20"/>
          <w:szCs w:val="20"/>
          <w:color w:val="auto"/>
        </w:rPr>
      </w:pPr>
      <w:r>
        <w:rPr>
          <w:rFonts w:ascii="Arial" w:cs="Arial" w:eastAsia="Arial" w:hAnsi="Arial"/>
          <w:sz w:val="20"/>
          <w:szCs w:val="20"/>
          <w:color w:val="auto"/>
        </w:rPr>
        <w:t>Rewards team at compensation@westlake.com.</w:t>
      </w:r>
    </w:p>
    <w:p>
      <w:pPr>
        <w:sectPr>
          <w:pgSz w:w="11900" w:h="16838" w:orient="portrait"/>
          <w:cols w:equalWidth="0" w:num="1">
            <w:col w:w="11240"/>
          </w:cols>
          <w:pgMar w:left="320" w:top="1413" w:right="339" w:bottom="1440" w:gutter="0" w:footer="0" w:header="0"/>
        </w:sectPr>
      </w:pPr>
    </w:p>
    <w:bookmarkStart w:id="52" w:name="page53"/>
    <w:bookmarkEnd w:id="52"/>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Albert Chao</w:t>
      </w: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0139"/>
          </w:cols>
          <w:pgMar w:left="320" w:top="144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700" w:hanging="67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Corporation (the "registrant");</w:t>
      </w:r>
    </w:p>
    <w:p>
      <w:pPr>
        <w:spacing w:after="0" w:line="144" w:lineRule="exact"/>
        <w:rPr>
          <w:rFonts w:ascii="Arial" w:cs="Arial" w:eastAsia="Arial" w:hAnsi="Arial"/>
          <w:sz w:val="18"/>
          <w:szCs w:val="18"/>
          <w:color w:val="auto"/>
        </w:rPr>
      </w:pPr>
    </w:p>
    <w:p>
      <w:pPr>
        <w:jc w:val="both"/>
        <w:ind w:left="700" w:right="80" w:hanging="674"/>
        <w:spacing w:after="0" w:line="2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700" w:right="40" w:hanging="674"/>
        <w:spacing w:after="0" w:line="25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60" w:right="60" w:hanging="665"/>
        <w:spacing w:after="0" w:line="224" w:lineRule="auto"/>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60" w:right="100" w:hanging="665"/>
        <w:spacing w:after="0" w:line="229" w:lineRule="auto"/>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8"/>
          <w:szCs w:val="18"/>
          <w:color w:val="auto"/>
        </w:rPr>
      </w:pPr>
    </w:p>
    <w:p>
      <w:pPr>
        <w:ind w:left="1360" w:right="140" w:hanging="665"/>
        <w:spacing w:after="0" w:line="307" w:lineRule="auto"/>
        <w:tabs>
          <w:tab w:leader="none" w:pos="1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60" w:right="220" w:hanging="665"/>
        <w:spacing w:after="0" w:line="224" w:lineRule="auto"/>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700" w:right="240" w:hanging="674"/>
        <w:spacing w:after="0" w:line="289"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right="440" w:hanging="665"/>
        <w:spacing w:after="0" w:line="307" w:lineRule="auto"/>
        <w:tabs>
          <w:tab w:leader="none" w:pos="1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60" w:right="140" w:hanging="665"/>
        <w:spacing w:after="0" w:line="246" w:lineRule="auto"/>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680" w:val="left"/>
          <w:tab w:leader="none" w:pos="8260" w:val="left"/>
          <w:tab w:leader="none" w:pos="8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23495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700" w:hanging="67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Corporation (the "registrant");</w:t>
      </w:r>
    </w:p>
    <w:p>
      <w:pPr>
        <w:spacing w:after="0" w:line="144" w:lineRule="exact"/>
        <w:rPr>
          <w:rFonts w:ascii="Arial" w:cs="Arial" w:eastAsia="Arial" w:hAnsi="Arial"/>
          <w:sz w:val="18"/>
          <w:szCs w:val="18"/>
          <w:color w:val="auto"/>
        </w:rPr>
      </w:pPr>
    </w:p>
    <w:p>
      <w:pPr>
        <w:jc w:val="both"/>
        <w:ind w:left="700" w:right="80" w:hanging="674"/>
        <w:spacing w:after="0" w:line="22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700" w:right="40" w:hanging="674"/>
        <w:spacing w:after="0" w:line="25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8"/>
          <w:szCs w:val="18"/>
          <w:color w:val="auto"/>
        </w:rPr>
      </w:pPr>
    </w:p>
    <w:p>
      <w:pPr>
        <w:ind w:left="1360" w:right="60" w:hanging="665"/>
        <w:spacing w:after="0" w:line="224"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60" w:right="100" w:hanging="665"/>
        <w:spacing w:after="0" w:line="229"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18"/>
          <w:szCs w:val="18"/>
          <w:color w:val="auto"/>
        </w:rPr>
      </w:pPr>
    </w:p>
    <w:p>
      <w:pPr>
        <w:ind w:left="1360" w:right="140" w:hanging="665"/>
        <w:spacing w:after="0" w:line="307"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60" w:right="220" w:hanging="665"/>
        <w:spacing w:after="0" w:line="224"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700" w:right="240" w:hanging="674"/>
        <w:spacing w:after="0" w:line="289"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right="440" w:hanging="665"/>
        <w:spacing w:after="0" w:line="307" w:lineRule="auto"/>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60" w:right="140" w:hanging="665"/>
        <w:spacing w:after="0" w:line="246"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640" w:val="left"/>
          <w:tab w:leader="none" w:pos="824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03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Executive Vice President and Chief Financial Officer</w:t>
      </w:r>
    </w:p>
    <w:p>
      <w:pPr>
        <w:ind w:left="8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In connection with the Quarterly Report of Westlake Corporation (the "Company") on Form 10-Q for the fiscal quarter ended June 30, 2023 as filed with the Securities and Exchange Commission on the date hereof (the "Report"), I, Albert Chao,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580" w:hanging="329"/>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640" w:val="left"/>
          <w:tab w:leader="none" w:pos="8240" w:val="left"/>
          <w:tab w:leader="none" w:pos="86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03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40" w:val="left"/>
          <w:tab w:leader="none" w:pos="8020" w:val="left"/>
          <w:tab w:leader="none" w:pos="838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03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28"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2"/>
    </w:lvl>
  </w:abstractNum>
  <w:abstractNum w:abstractNumId="3">
    <w:nsid w:val="431BD7B7"/>
    <w:multiLevelType w:val="hybridMultilevel"/>
    <w:lvl w:ilvl="0">
      <w:lvlJc w:val="left"/>
      <w:lvlText w:val="%1."/>
      <w:numFmt w:val="decimal"/>
      <w:start w:val="13"/>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04"/>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1."/>
      <w:numFmt w:val="decimal"/>
      <w:start w:val="3"/>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lowerLetter"/>
      <w:start w:val="3"/>
    </w:lvl>
  </w:abstractNum>
  <w:abstractNum w:abstractNumId="20">
    <w:nsid w:val="189A769B"/>
    <w:multiLevelType w:val="hybridMultilevel"/>
    <w:lvl w:ilvl="0">
      <w:lvlJc w:val="left"/>
      <w:lvlText w:val="%1."/>
      <w:numFmt w:val="decimal"/>
      <w:start w:val="6"/>
    </w:lvl>
    <w:lvl w:ilvl="1">
      <w:lvlJc w:val="left"/>
      <w:lvlText w:val="(%2)"/>
      <w:numFmt w:val="lowerLetter"/>
      <w:start w:val="1"/>
    </w:lvl>
  </w:abstractNum>
  <w:abstractNum w:abstractNumId="21">
    <w:nsid w:val="54E49EB4"/>
    <w:multiLevelType w:val="hybridMultilevel"/>
    <w:lvl w:ilvl="0">
      <w:lvlJc w:val="left"/>
      <w:lvlText w:val="%1."/>
      <w:numFmt w:val="decimal"/>
      <w:start w:val="9"/>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
    </w:lvl>
    <w:lvl w:ilvl="1">
      <w:lvlJc w:val="left"/>
      <w:lvlText w:val="(%2)"/>
      <w:numFmt w:val="lowerLetter"/>
      <w:start w:val="1"/>
    </w:lvl>
  </w:abstractNum>
  <w:abstractNum w:abstractNumId="25">
    <w:nsid w:val="2901D82"/>
    <w:multiLevelType w:val="hybridMultilevel"/>
    <w:lvl w:ilvl="0">
      <w:lvlJc w:val="left"/>
      <w:lvlText w:val="%1."/>
      <w:numFmt w:val="decimal"/>
      <w:start w:val="4"/>
    </w:lvl>
    <w:lvl w:ilvl="1">
      <w:lvlJc w:val="left"/>
      <w:lvlText w:val="(%2)"/>
      <w:numFmt w:val="lowerLetter"/>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decimal"/>
      <w:start w:val="8"/>
    </w:lvl>
  </w:abstractNum>
  <w:abstractNum w:abstractNumId="28">
    <w:nsid w:val="1E7FF521"/>
    <w:multiLevelType w:val="hybridMultilevel"/>
    <w:lvl w:ilvl="0">
      <w:lvlJc w:val="left"/>
      <w:lvlText w:val="%1."/>
      <w:numFmt w:val="decimal"/>
      <w:start w:val="15"/>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57" Type="http://schemas.openxmlformats.org/officeDocument/2006/relationships/hyperlink" Target="https://www.sec.gov/Archives/edgar/data/1262823/000095012904005754/h15326a4exv3w1.txt" TargetMode="External"/><Relationship Id="rId58" Type="http://schemas.openxmlformats.org/officeDocument/2006/relationships/hyperlink" Target="http://www.sec.gov/Archives/edgar/data/1262823/000119312514202875/d726191dex31.htm" TargetMode="External"/><Relationship Id="rId59" Type="http://schemas.openxmlformats.org/officeDocument/2006/relationships/hyperlink" Target="http://www.sec.gov/Archives/edgar/data/1262823/000119312517176637/d352639dex31.htm" TargetMode="External"/><Relationship Id="rId60" Type="http://schemas.openxmlformats.org/officeDocument/2006/relationships/hyperlink" Target="http://www.sec.gov/Archives/edgar/data/0001262823/000126282321000042/ex31_20210513.htm" TargetMode="External"/><Relationship Id="rId61" Type="http://schemas.openxmlformats.org/officeDocument/2006/relationships/hyperlink" Target="http://www.sec.gov/Archives/edgar/data/0001262823/000119312522046627/d270059dex31.htm" TargetMode="External"/><Relationship Id="rId62" Type="http://schemas.openxmlformats.org/officeDocument/2006/relationships/hyperlink" Target="https://www.sec.gov/Archives/edgar/data/1262823/000119312523146155/d505607dex31.htm" TargetMode="External"/><Relationship Id="rId63" Type="http://schemas.openxmlformats.org/officeDocument/2006/relationships/hyperlink" Target="http://www.sec.gov/Archives/edgar/data/0001262823/000119312522046627/d270059dex32.htm" TargetMode="External"/><Relationship Id="rId64" Type="http://schemas.openxmlformats.org/officeDocument/2006/relationships/hyperlink" Target="https://www.sec.gov/ix?doc=/Archives/edgar/data/0001262823/000119312523087085/d446880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2023-08-03T14:13:05Z</dcterms:created>
  <dcterms:modified xsi:type="dcterms:W3CDTF">2023-08-03T14:13:05Z</dcterms:modified>
</cp:coreProperties>
</file>