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Chao John Tsung-chen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8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WESTLAKE CHEMICAL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WLK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20" w:type="dxa"/>
            <w:vAlign w:val="bottom"/>
          </w:tcPr>
          <w:p>
            <w:pPr>
              <w:ind w:left="14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2801 POST OAK BLVD.</w:t>
            </w:r>
          </w:p>
        </w:tc>
        <w:tc>
          <w:tcPr>
            <w:tcW w:w="12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20" w:type="dxa"/>
            <w:vAlign w:val="bottom"/>
          </w:tcPr>
          <w:p>
            <w:pPr>
              <w:ind w:left="140"/>
              <w:spacing w:after="0"/>
              <w:rPr>
                <w:sz w:val="20"/>
                <w:szCs w:val="20"/>
                <w:color w:val="auto"/>
              </w:rPr>
            </w:pPr>
            <w:r>
              <w:rPr>
                <w:rFonts w:ascii="Arial" w:cs="Arial" w:eastAsia="Arial" w:hAnsi="Arial"/>
                <w:sz w:val="18"/>
                <w:szCs w:val="18"/>
                <w:color w:val="0000FF"/>
              </w:rPr>
              <w:t>TX</w:t>
            </w:r>
          </w:p>
        </w:tc>
        <w:tc>
          <w:tcPr>
            <w:tcW w:w="1240" w:type="dxa"/>
            <w:vAlign w:val="bottom"/>
          </w:tcPr>
          <w:p>
            <w:pPr>
              <w:ind w:left="20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20" w:type="dxa"/>
            <w:vAlign w:val="bottom"/>
          </w:tcPr>
          <w:p>
            <w:pPr>
              <w:ind w:left="140"/>
              <w:spacing w:after="0"/>
              <w:rPr>
                <w:sz w:val="20"/>
                <w:szCs w:val="20"/>
                <w:color w:val="auto"/>
              </w:rPr>
            </w:pPr>
            <w:r>
              <w:rPr>
                <w:rFonts w:ascii="Arial" w:cs="Arial" w:eastAsia="Arial" w:hAnsi="Arial"/>
                <w:sz w:val="14"/>
                <w:szCs w:val="14"/>
                <w:color w:val="auto"/>
              </w:rPr>
              <w:t>(State)</w:t>
            </w:r>
          </w:p>
        </w:tc>
        <w:tc>
          <w:tcPr>
            <w:tcW w:w="1240" w:type="dxa"/>
            <w:vAlign w:val="bottom"/>
          </w:tcPr>
          <w:p>
            <w:pPr>
              <w:ind w:left="2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367"/>
              <w:spacing w:after="0"/>
              <w:rPr>
                <w:sz w:val="20"/>
                <w:szCs w:val="20"/>
                <w:color w:val="auto"/>
              </w:rPr>
            </w:pPr>
            <w:r>
              <w:rPr>
                <w:rFonts w:ascii="Arial" w:cs="Arial" w:eastAsia="Arial" w:hAnsi="Arial"/>
                <w:sz w:val="18"/>
                <w:szCs w:val="18"/>
                <w:color w:val="0000FF"/>
              </w:rPr>
              <w:t>92,010,554</w:t>
            </w:r>
          </w:p>
        </w:tc>
        <w:tc>
          <w:tcPr>
            <w:tcW w:w="104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rPr>
              <w:t>TTWF LP &amp; TTWFGP LLC</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6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92,010,554 shares of Issuer are held through TTWF LP, a Delaware limited partnership. Two trusts for the benefit of members of the Chao family, including the reporting person, are the managers of TTWFGP LLC, a Delaware limited liability company that is the general partner of TTWF LP. The limited partners of TTWF LP are five trusts, principally for the benefit of members of the Chao family, including the reporting person, and two corporations owned, indirectly or directly, by certain of these trusts and by other entities owned by members of the Chao family, including the reporting person. The reporting person disclaims beneficial ownership of the shares except to the extent of her pecuniary interest therein.</w:t>
      </w:r>
    </w:p>
    <w:p>
      <w:pPr>
        <w:spacing w:after="0" w:line="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John Tsung-Chen Chao by J.</w:t>
      </w:r>
      <w:r>
        <w:rPr>
          <w:sz w:val="20"/>
          <w:szCs w:val="20"/>
          <w:color w:val="auto"/>
        </w:rPr>
        <w:tab/>
      </w:r>
      <w:r>
        <w:rPr>
          <w:rFonts w:ascii="Arial" w:cs="Arial" w:eastAsia="Arial" w:hAnsi="Arial"/>
          <w:sz w:val="23"/>
          <w:szCs w:val="23"/>
          <w:color w:val="0000FF"/>
          <w:vertAlign w:val="subscript"/>
        </w:rPr>
        <w:t>08/20/2018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2833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83335" cy="8890"/>
                    </a:xfrm>
                    <a:prstGeom prst="rect">
                      <a:avLst/>
                    </a:prstGeom>
                    <a:noFill/>
                  </pic:spPr>
                </pic:pic>
              </a:graphicData>
            </a:graphic>
          </wp:anchor>
        </w:drawing>
      </w:r>
    </w:p>
    <w:p>
      <w:pPr>
        <w:spacing w:after="0" w:line="5"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Feng POA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473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7371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Know all by these presents, that the undersigned hereby constitutes and appoints each of the following: L. Benjamin Ederington, Julia Feng and Joel Iglesias signing singly, the undersigned's true and lawful attorney-in-fact to:</w:t>
      </w:r>
    </w:p>
    <w:p>
      <w:pPr>
        <w:spacing w:after="0" w:line="1" w:lineRule="exact"/>
        <w:rPr>
          <w:sz w:val="20"/>
          <w:szCs w:val="20"/>
          <w:color w:val="auto"/>
        </w:rPr>
      </w:pPr>
    </w:p>
    <w:p>
      <w:pPr>
        <w:jc w:val="both"/>
        <w:ind w:left="1300" w:hanging="644"/>
        <w:spacing w:after="0" w:line="25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Westlake Chemical Corporation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spacing w:after="0" w:line="216"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or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213"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that all such attorney-in-fact, or such attorney-in-fact's substitute or substitutes, shall lawfully do or case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effective as of July 11, 2018.</w:t>
      </w:r>
    </w:p>
    <w:p>
      <w:pPr>
        <w:spacing w:after="0" w:line="200" w:lineRule="exact"/>
        <w:rPr>
          <w:sz w:val="20"/>
          <w:szCs w:val="20"/>
          <w:color w:val="auto"/>
        </w:rPr>
      </w:pPr>
    </w:p>
    <w:p>
      <w:pPr>
        <w:spacing w:after="0" w:line="227" w:lineRule="exact"/>
        <w:rPr>
          <w:sz w:val="20"/>
          <w:szCs w:val="20"/>
          <w:color w:val="auto"/>
        </w:rPr>
      </w:pPr>
    </w:p>
    <w:p>
      <w:pPr>
        <w:ind w:left="4140"/>
        <w:spacing w:after="0"/>
        <w:rPr>
          <w:sz w:val="20"/>
          <w:szCs w:val="20"/>
          <w:color w:val="auto"/>
        </w:rPr>
      </w:pPr>
      <w:r>
        <w:rPr>
          <w:rFonts w:ascii="Arial" w:cs="Arial" w:eastAsia="Arial" w:hAnsi="Arial"/>
          <w:sz w:val="18"/>
          <w:szCs w:val="18"/>
          <w:u w:val="single" w:color="auto"/>
          <w:color w:val="auto"/>
        </w:rPr>
        <w:t>/s/ JOHN CHAO</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JOHN CHAO</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line="526" w:lineRule="auto"/>
        <w:rPr>
          <w:sz w:val="20"/>
          <w:szCs w:val="20"/>
          <w:color w:val="auto"/>
        </w:rPr>
      </w:pPr>
      <w:r>
        <w:rPr>
          <w:rFonts w:ascii="Arial" w:cs="Arial" w:eastAsia="Arial" w:hAnsi="Arial"/>
          <w:sz w:val="17"/>
          <w:szCs w:val="17"/>
          <w:color w:val="auto"/>
        </w:rPr>
        <w:t>STATE OF TEXAS COUNTY OF HARRIS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5" w:lineRule="exact"/>
        <w:rPr>
          <w:sz w:val="20"/>
          <w:szCs w:val="20"/>
          <w:color w:val="auto"/>
        </w:rPr>
      </w:pPr>
    </w:p>
    <w:p>
      <w:pPr>
        <w:sectPr>
          <w:pgSz w:w="11900" w:h="16838" w:orient="portrait"/>
          <w:cols w:equalWidth="0" w:num="2">
            <w:col w:w="2380" w:space="660"/>
            <w:col w:w="8380"/>
          </w:cols>
          <w:pgMar w:left="240" w:top="364" w:right="239" w:bottom="1440" w:gutter="0" w:footer="0" w:header="0"/>
          <w:type w:val="continuous"/>
        </w:sectPr>
      </w:pPr>
    </w:p>
    <w:p>
      <w:pPr>
        <w:ind w:left="660"/>
        <w:spacing w:after="0" w:line="251" w:lineRule="auto"/>
        <w:rPr>
          <w:sz w:val="20"/>
          <w:szCs w:val="20"/>
          <w:color w:val="auto"/>
        </w:rPr>
      </w:pPr>
      <w:r>
        <w:rPr>
          <w:rFonts w:ascii="Arial" w:cs="Arial" w:eastAsia="Arial" w:hAnsi="Arial"/>
          <w:sz w:val="22"/>
          <w:szCs w:val="22"/>
          <w:color w:val="auto"/>
        </w:rPr>
        <w:t>Before me on this 11th day of July, 2018, personally appeared John Chao and acknowledged to me that he executed the foregoing for the purposes therein expressed.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80"/>
        <w:spacing w:after="0"/>
        <w:rPr>
          <w:sz w:val="20"/>
          <w:szCs w:val="20"/>
          <w:color w:val="auto"/>
        </w:rPr>
      </w:pPr>
      <w:r>
        <w:rPr>
          <w:rFonts w:ascii="Arial" w:cs="Arial" w:eastAsia="Arial" w:hAnsi="Arial"/>
          <w:sz w:val="18"/>
          <w:szCs w:val="18"/>
          <w:u w:val="single" w:color="auto"/>
          <w:color w:val="auto"/>
        </w:rPr>
        <w:t>NADIA M. STARBUCK</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Notary Public, State of Texas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My Commission Expires:</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October 19, 2021</w:t>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46472" TargetMode="External"/><Relationship Id="rId12" Type="http://schemas.openxmlformats.org/officeDocument/2006/relationships/hyperlink" Target="http://www.sec.gov/cgi-bin/browse-edgar?action=getcompany&amp;CIK=00012628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2019-12-24T08:00:12Z</dcterms:created>
  <dcterms:modified xsi:type="dcterms:W3CDTF">2019-12-24T08:00:12Z</dcterms:modified>
</cp:coreProperties>
</file>