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4"/>
          <w:szCs w:val="24"/>
          <w:color w:val="auto"/>
        </w:rPr>
      </w:pPr>
    </w:p>
    <w:p>
      <w:pPr>
        <w:spacing w:after="0" w:line="27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158750</wp:posOffset>
            </wp:positionV>
            <wp:extent cx="3370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127000</wp:posOffset>
            </wp:positionV>
            <wp:extent cx="3370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720" w:right="1860" w:hanging="685"/>
        <w:spacing w:after="0" w:line="313" w:lineRule="auto"/>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2015</w:t>
      </w:r>
    </w:p>
    <w:p>
      <w:pPr>
        <w:jc w:val="center"/>
        <w:ind w:right="-59"/>
        <w:spacing w:after="0"/>
        <w:rPr>
          <w:sz w:val="20"/>
          <w:szCs w:val="20"/>
          <w:color w:val="auto"/>
        </w:rPr>
      </w:pPr>
      <w:r>
        <w:rPr>
          <w:rFonts w:ascii="Arial" w:cs="Arial" w:eastAsia="Arial" w:hAnsi="Arial"/>
          <w:sz w:val="18"/>
          <w:szCs w:val="18"/>
          <w:b w:val="1"/>
          <w:bCs w:val="1"/>
          <w:color w:val="auto"/>
        </w:rPr>
        <w:t>or</w:t>
      </w:r>
    </w:p>
    <w:p>
      <w:pPr>
        <w:ind w:left="720" w:hanging="685"/>
        <w:spacing w:after="0" w:line="213"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8" w:lineRule="exact"/>
        <w:rPr>
          <w:sz w:val="24"/>
          <w:szCs w:val="24"/>
          <w:color w:val="auto"/>
        </w:rPr>
      </w:pPr>
    </w:p>
    <w:p>
      <w:pPr>
        <w:ind w:left="720"/>
        <w:spacing w:after="0"/>
        <w:tabs>
          <w:tab w:leader="none" w:pos="3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4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001-32260</w:t>
      </w: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Westlake Chemical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-302895</wp:posOffset>
            </wp:positionV>
            <wp:extent cx="3370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90805</wp:posOffset>
            </wp:positionV>
            <wp:extent cx="3370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420" w:type="dxa"/>
        <w:tblCellMar>
          <w:top w:w="0" w:type="dxa"/>
          <w:left w:w="0" w:type="dxa"/>
          <w:bottom w:w="0" w:type="dxa"/>
          <w:right w:w="0" w:type="dxa"/>
        </w:tblCellMar>
      </w:tblPr>
      <w:tr>
        <w:trPr>
          <w:trHeight w:val="234"/>
        </w:trPr>
        <w:tc>
          <w:tcPr>
            <w:tcW w:w="3640" w:type="dxa"/>
            <w:vAlign w:val="bottom"/>
            <w:gridSpan w:val="2"/>
          </w:tcPr>
          <w:p>
            <w:pPr>
              <w:jc w:val="center"/>
              <w:ind w:left="1058"/>
              <w:spacing w:after="0"/>
              <w:rPr>
                <w:sz w:val="20"/>
                <w:szCs w:val="20"/>
                <w:color w:val="auto"/>
              </w:rPr>
            </w:pPr>
            <w:r>
              <w:rPr>
                <w:rFonts w:ascii="Arial" w:cs="Arial" w:eastAsia="Arial" w:hAnsi="Arial"/>
                <w:sz w:val="18"/>
                <w:szCs w:val="18"/>
                <w:b w:val="1"/>
                <w:bCs w:val="1"/>
                <w:color w:val="auto"/>
                <w:w w:val="93"/>
              </w:rPr>
              <w:t>Delaware</w:t>
            </w:r>
          </w:p>
        </w:tc>
        <w:tc>
          <w:tcPr>
            <w:tcW w:w="5900" w:type="dxa"/>
            <w:vAlign w:val="bottom"/>
            <w:gridSpan w:val="2"/>
          </w:tcPr>
          <w:p>
            <w:pPr>
              <w:jc w:val="center"/>
              <w:ind w:left="3378"/>
              <w:spacing w:after="0"/>
              <w:rPr>
                <w:sz w:val="20"/>
                <w:szCs w:val="20"/>
                <w:color w:val="auto"/>
              </w:rPr>
            </w:pPr>
            <w:r>
              <w:rPr>
                <w:rFonts w:ascii="Arial" w:cs="Arial" w:eastAsia="Arial" w:hAnsi="Arial"/>
                <w:sz w:val="18"/>
                <w:szCs w:val="18"/>
                <w:b w:val="1"/>
                <w:bCs w:val="1"/>
                <w:color w:val="auto"/>
                <w:w w:val="91"/>
              </w:rPr>
              <w:t>76-0346924</w:t>
            </w:r>
          </w:p>
        </w:tc>
        <w:tc>
          <w:tcPr>
            <w:tcW w:w="1160" w:type="dxa"/>
            <w:vAlign w:val="bottom"/>
          </w:tcPr>
          <w:p>
            <w:pPr>
              <w:spacing w:after="0"/>
              <w:rPr>
                <w:sz w:val="20"/>
                <w:szCs w:val="20"/>
                <w:color w:val="auto"/>
              </w:rPr>
            </w:pPr>
          </w:p>
        </w:tc>
      </w:tr>
      <w:tr>
        <w:trPr>
          <w:trHeight w:val="180"/>
        </w:trPr>
        <w:tc>
          <w:tcPr>
            <w:tcW w:w="3640" w:type="dxa"/>
            <w:vAlign w:val="bottom"/>
            <w:gridSpan w:val="2"/>
          </w:tcPr>
          <w:p>
            <w:pPr>
              <w:jc w:val="center"/>
              <w:ind w:left="1058"/>
              <w:spacing w:after="0"/>
              <w:rPr>
                <w:sz w:val="20"/>
                <w:szCs w:val="20"/>
                <w:color w:val="auto"/>
              </w:rPr>
            </w:pPr>
            <w:r>
              <w:rPr>
                <w:rFonts w:ascii="Arial" w:cs="Arial" w:eastAsia="Arial" w:hAnsi="Arial"/>
                <w:sz w:val="14"/>
                <w:szCs w:val="14"/>
                <w:b w:val="1"/>
                <w:bCs w:val="1"/>
                <w:color w:val="auto"/>
                <w:w w:val="92"/>
              </w:rPr>
              <w:t>(State or other jurisdiction of</w:t>
            </w:r>
          </w:p>
        </w:tc>
        <w:tc>
          <w:tcPr>
            <w:tcW w:w="5900" w:type="dxa"/>
            <w:vAlign w:val="bottom"/>
            <w:gridSpan w:val="2"/>
          </w:tcPr>
          <w:p>
            <w:pPr>
              <w:jc w:val="center"/>
              <w:ind w:left="3378"/>
              <w:spacing w:after="0"/>
              <w:rPr>
                <w:sz w:val="20"/>
                <w:szCs w:val="20"/>
                <w:color w:val="auto"/>
              </w:rPr>
            </w:pPr>
            <w:r>
              <w:rPr>
                <w:rFonts w:ascii="Arial" w:cs="Arial" w:eastAsia="Arial" w:hAnsi="Arial"/>
                <w:sz w:val="14"/>
                <w:szCs w:val="14"/>
                <w:b w:val="1"/>
                <w:bCs w:val="1"/>
                <w:color w:val="auto"/>
                <w:w w:val="96"/>
              </w:rPr>
              <w:t>(I.R.S. Employer</w:t>
            </w:r>
          </w:p>
        </w:tc>
        <w:tc>
          <w:tcPr>
            <w:tcW w:w="1160" w:type="dxa"/>
            <w:vAlign w:val="bottom"/>
          </w:tcPr>
          <w:p>
            <w:pPr>
              <w:spacing w:after="0"/>
              <w:rPr>
                <w:sz w:val="15"/>
                <w:szCs w:val="15"/>
                <w:color w:val="auto"/>
              </w:rPr>
            </w:pPr>
          </w:p>
        </w:tc>
      </w:tr>
      <w:tr>
        <w:trPr>
          <w:trHeight w:val="186"/>
        </w:trPr>
        <w:tc>
          <w:tcPr>
            <w:tcW w:w="3640" w:type="dxa"/>
            <w:vAlign w:val="bottom"/>
            <w:gridSpan w:val="2"/>
          </w:tcPr>
          <w:p>
            <w:pPr>
              <w:jc w:val="center"/>
              <w:ind w:left="1058"/>
              <w:spacing w:after="0"/>
              <w:rPr>
                <w:sz w:val="20"/>
                <w:szCs w:val="20"/>
                <w:color w:val="auto"/>
              </w:rPr>
            </w:pPr>
            <w:r>
              <w:rPr>
                <w:rFonts w:ascii="Arial" w:cs="Arial" w:eastAsia="Arial" w:hAnsi="Arial"/>
                <w:sz w:val="14"/>
                <w:szCs w:val="14"/>
                <w:b w:val="1"/>
                <w:bCs w:val="1"/>
                <w:color w:val="auto"/>
                <w:w w:val="93"/>
              </w:rPr>
              <w:t>incorporation or organization)</w:t>
            </w:r>
          </w:p>
        </w:tc>
        <w:tc>
          <w:tcPr>
            <w:tcW w:w="5900" w:type="dxa"/>
            <w:vAlign w:val="bottom"/>
            <w:gridSpan w:val="2"/>
          </w:tcPr>
          <w:p>
            <w:pPr>
              <w:jc w:val="center"/>
              <w:ind w:left="3378"/>
              <w:spacing w:after="0"/>
              <w:rPr>
                <w:sz w:val="20"/>
                <w:szCs w:val="20"/>
                <w:color w:val="auto"/>
              </w:rPr>
            </w:pPr>
            <w:r>
              <w:rPr>
                <w:rFonts w:ascii="Arial" w:cs="Arial" w:eastAsia="Arial" w:hAnsi="Arial"/>
                <w:sz w:val="14"/>
                <w:szCs w:val="14"/>
                <w:b w:val="1"/>
                <w:bCs w:val="1"/>
                <w:color w:val="auto"/>
                <w:w w:val="94"/>
              </w:rPr>
              <w:t>Identification No.)</w:t>
            </w:r>
          </w:p>
        </w:tc>
        <w:tc>
          <w:tcPr>
            <w:tcW w:w="1160" w:type="dxa"/>
            <w:vAlign w:val="bottom"/>
          </w:tcPr>
          <w:p>
            <w:pPr>
              <w:spacing w:after="0"/>
              <w:rPr>
                <w:sz w:val="16"/>
                <w:szCs w:val="16"/>
                <w:color w:val="auto"/>
              </w:rPr>
            </w:pPr>
          </w:p>
        </w:tc>
      </w:tr>
      <w:tr>
        <w:trPr>
          <w:trHeight w:val="318"/>
        </w:trPr>
        <w:tc>
          <w:tcPr>
            <w:tcW w:w="2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900" w:type="dxa"/>
            <w:vAlign w:val="bottom"/>
            <w:gridSpan w:val="2"/>
          </w:tcPr>
          <w:p>
            <w:pPr>
              <w:jc w:val="center"/>
              <w:ind w:right="2600"/>
              <w:spacing w:after="0"/>
              <w:rPr>
                <w:sz w:val="20"/>
                <w:szCs w:val="20"/>
                <w:color w:val="auto"/>
              </w:rPr>
            </w:pPr>
            <w:r>
              <w:rPr>
                <w:rFonts w:ascii="Arial" w:cs="Arial" w:eastAsia="Arial" w:hAnsi="Arial"/>
                <w:sz w:val="18"/>
                <w:szCs w:val="18"/>
                <w:b w:val="1"/>
                <w:bCs w:val="1"/>
                <w:color w:val="auto"/>
                <w:w w:val="89"/>
              </w:rPr>
              <w:t>2801 Post Oak Boulevard, Suite 600</w:t>
            </w:r>
          </w:p>
        </w:tc>
        <w:tc>
          <w:tcPr>
            <w:tcW w:w="1160" w:type="dxa"/>
            <w:vAlign w:val="bottom"/>
          </w:tcPr>
          <w:p>
            <w:pPr>
              <w:spacing w:after="0"/>
              <w:rPr>
                <w:sz w:val="24"/>
                <w:szCs w:val="24"/>
                <w:color w:val="auto"/>
              </w:rPr>
            </w:pPr>
          </w:p>
        </w:tc>
      </w:tr>
      <w:tr>
        <w:trPr>
          <w:trHeight w:val="212"/>
        </w:trPr>
        <w:tc>
          <w:tcPr>
            <w:tcW w:w="2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900" w:type="dxa"/>
            <w:vAlign w:val="bottom"/>
            <w:gridSpan w:val="2"/>
          </w:tcPr>
          <w:p>
            <w:pPr>
              <w:jc w:val="center"/>
              <w:ind w:right="2600"/>
              <w:spacing w:after="0"/>
              <w:rPr>
                <w:sz w:val="20"/>
                <w:szCs w:val="20"/>
                <w:color w:val="auto"/>
              </w:rPr>
            </w:pPr>
            <w:r>
              <w:rPr>
                <w:rFonts w:ascii="Arial" w:cs="Arial" w:eastAsia="Arial" w:hAnsi="Arial"/>
                <w:sz w:val="18"/>
                <w:szCs w:val="18"/>
                <w:b w:val="1"/>
                <w:bCs w:val="1"/>
                <w:color w:val="auto"/>
                <w:w w:val="87"/>
              </w:rPr>
              <w:t>Houston, Texas 77056</w:t>
            </w:r>
          </w:p>
        </w:tc>
        <w:tc>
          <w:tcPr>
            <w:tcW w:w="1160" w:type="dxa"/>
            <w:vAlign w:val="bottom"/>
          </w:tcPr>
          <w:p>
            <w:pPr>
              <w:spacing w:after="0"/>
              <w:rPr>
                <w:sz w:val="18"/>
                <w:szCs w:val="18"/>
                <w:color w:val="auto"/>
              </w:rPr>
            </w:pPr>
          </w:p>
        </w:tc>
      </w:tr>
      <w:tr>
        <w:trPr>
          <w:trHeight w:val="186"/>
        </w:trPr>
        <w:tc>
          <w:tcPr>
            <w:tcW w:w="2640" w:type="dxa"/>
            <w:vAlign w:val="bottom"/>
          </w:tcPr>
          <w:p>
            <w:pPr>
              <w:spacing w:after="0"/>
              <w:rPr>
                <w:sz w:val="16"/>
                <w:szCs w:val="16"/>
                <w:color w:val="auto"/>
              </w:rPr>
            </w:pPr>
          </w:p>
        </w:tc>
        <w:tc>
          <w:tcPr>
            <w:tcW w:w="690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160" w:type="dxa"/>
            <w:vAlign w:val="bottom"/>
          </w:tcPr>
          <w:p>
            <w:pPr>
              <w:spacing w:after="0"/>
              <w:rPr>
                <w:sz w:val="16"/>
                <w:szCs w:val="16"/>
                <w:color w:val="auto"/>
              </w:rPr>
            </w:pPr>
          </w:p>
        </w:tc>
      </w:tr>
      <w:tr>
        <w:trPr>
          <w:trHeight w:val="219"/>
        </w:trPr>
        <w:tc>
          <w:tcPr>
            <w:tcW w:w="2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300" w:type="dxa"/>
            <w:vAlign w:val="bottom"/>
          </w:tcPr>
          <w:p>
            <w:pPr>
              <w:jc w:val="center"/>
              <w:ind w:right="918"/>
              <w:spacing w:after="0"/>
              <w:rPr>
                <w:sz w:val="20"/>
                <w:szCs w:val="20"/>
                <w:color w:val="auto"/>
              </w:rPr>
            </w:pPr>
            <w:r>
              <w:rPr>
                <w:rFonts w:ascii="Arial" w:cs="Arial" w:eastAsia="Arial" w:hAnsi="Arial"/>
                <w:sz w:val="18"/>
                <w:szCs w:val="18"/>
                <w:b w:val="1"/>
                <w:bCs w:val="1"/>
                <w:color w:val="auto"/>
                <w:w w:val="89"/>
              </w:rPr>
              <w:t>(713) 960-9111</w:t>
            </w:r>
          </w:p>
        </w:tc>
        <w:tc>
          <w:tcPr>
            <w:tcW w:w="16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86"/>
        </w:trPr>
        <w:tc>
          <w:tcPr>
            <w:tcW w:w="2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900" w:type="dxa"/>
            <w:vAlign w:val="bottom"/>
            <w:gridSpan w:val="2"/>
          </w:tcPr>
          <w:p>
            <w:pPr>
              <w:jc w:val="center"/>
              <w:ind w:right="25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160" w:type="dxa"/>
            <w:vAlign w:val="bottom"/>
          </w:tcPr>
          <w:p>
            <w:pPr>
              <w:spacing w:after="0"/>
              <w:rPr>
                <w:sz w:val="16"/>
                <w:szCs w:val="16"/>
                <w:color w:val="auto"/>
              </w:rPr>
            </w:pPr>
          </w:p>
        </w:tc>
      </w:tr>
      <w:tr>
        <w:trPr>
          <w:trHeight w:val="134"/>
        </w:trPr>
        <w:tc>
          <w:tcPr>
            <w:tcW w:w="2640" w:type="dxa"/>
            <w:vAlign w:val="bottom"/>
          </w:tcPr>
          <w:p>
            <w:pPr>
              <w:spacing w:after="0"/>
              <w:rPr>
                <w:sz w:val="11"/>
                <w:szCs w:val="11"/>
                <w:color w:val="auto"/>
              </w:rPr>
            </w:pPr>
          </w:p>
        </w:tc>
        <w:tc>
          <w:tcPr>
            <w:tcW w:w="5300" w:type="dxa"/>
            <w:vAlign w:val="bottom"/>
            <w:tcBorders>
              <w:bottom w:val="single" w:sz="8" w:color="auto"/>
            </w:tcBorders>
            <w:gridSpan w:val="2"/>
          </w:tcPr>
          <w:p>
            <w:pPr>
              <w:spacing w:after="0"/>
              <w:rPr>
                <w:sz w:val="11"/>
                <w:szCs w:val="11"/>
                <w:color w:val="auto"/>
              </w:rPr>
            </w:pPr>
          </w:p>
        </w:tc>
        <w:tc>
          <w:tcPr>
            <w:tcW w:w="16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358"/>
        </w:trPr>
        <w:tc>
          <w:tcPr>
            <w:tcW w:w="2640" w:type="dxa"/>
            <w:vAlign w:val="bottom"/>
          </w:tcPr>
          <w:p>
            <w:pPr>
              <w:spacing w:after="0"/>
              <w:rPr>
                <w:sz w:val="24"/>
                <w:szCs w:val="24"/>
                <w:color w:val="auto"/>
              </w:rPr>
            </w:pPr>
          </w:p>
        </w:tc>
        <w:tc>
          <w:tcPr>
            <w:tcW w:w="6900" w:type="dxa"/>
            <w:vAlign w:val="bottom"/>
            <w:gridSpan w:val="3"/>
          </w:tcPr>
          <w:p>
            <w:pPr>
              <w:jc w:val="center"/>
              <w:ind w:right="154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1160" w:type="dxa"/>
            <w:vAlign w:val="bottom"/>
          </w:tcPr>
          <w:p>
            <w:pPr>
              <w:spacing w:after="0"/>
              <w:rPr>
                <w:sz w:val="24"/>
                <w:szCs w:val="24"/>
                <w:color w:val="auto"/>
              </w:rPr>
            </w:pPr>
          </w:p>
        </w:tc>
      </w:tr>
      <w:tr>
        <w:trPr>
          <w:trHeight w:val="326"/>
        </w:trPr>
        <w:tc>
          <w:tcPr>
            <w:tcW w:w="3640" w:type="dxa"/>
            <w:vAlign w:val="bottom"/>
            <w:gridSpan w:val="2"/>
          </w:tcPr>
          <w:p>
            <w:pPr>
              <w:jc w:val="center"/>
              <w:ind w:left="1078"/>
              <w:spacing w:after="0"/>
              <w:rPr>
                <w:sz w:val="20"/>
                <w:szCs w:val="20"/>
                <w:color w:val="auto"/>
              </w:rPr>
            </w:pPr>
            <w:r>
              <w:rPr>
                <w:rFonts w:ascii="Arial" w:cs="Arial" w:eastAsia="Arial" w:hAnsi="Arial"/>
                <w:sz w:val="14"/>
                <w:szCs w:val="14"/>
                <w:b w:val="1"/>
                <w:bCs w:val="1"/>
                <w:color w:val="auto"/>
                <w:w w:val="89"/>
              </w:rPr>
              <w:t>Title of each class</w:t>
            </w:r>
          </w:p>
        </w:tc>
        <w:tc>
          <w:tcPr>
            <w:tcW w:w="7060" w:type="dxa"/>
            <w:vAlign w:val="bottom"/>
            <w:gridSpan w:val="3"/>
          </w:tcPr>
          <w:p>
            <w:pPr>
              <w:jc w:val="center"/>
              <w:ind w:left="221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5"/>
        </w:trPr>
        <w:tc>
          <w:tcPr>
            <w:tcW w:w="3640" w:type="dxa"/>
            <w:vAlign w:val="bottom"/>
            <w:gridSpan w:val="2"/>
          </w:tcPr>
          <w:p>
            <w:pPr>
              <w:jc w:val="center"/>
              <w:ind w:left="1058"/>
              <w:spacing w:after="0"/>
              <w:rPr>
                <w:sz w:val="20"/>
                <w:szCs w:val="20"/>
                <w:color w:val="auto"/>
              </w:rPr>
            </w:pPr>
            <w:r>
              <w:rPr>
                <w:rFonts w:ascii="Arial" w:cs="Arial" w:eastAsia="Arial" w:hAnsi="Arial"/>
                <w:sz w:val="18"/>
                <w:szCs w:val="18"/>
                <w:b w:val="1"/>
                <w:bCs w:val="1"/>
                <w:color w:val="auto"/>
                <w:w w:val="90"/>
              </w:rPr>
              <w:t>Common Stock, $0.01 par value</w:t>
            </w:r>
          </w:p>
        </w:tc>
        <w:tc>
          <w:tcPr>
            <w:tcW w:w="5900" w:type="dxa"/>
            <w:vAlign w:val="bottom"/>
            <w:gridSpan w:val="2"/>
          </w:tcPr>
          <w:p>
            <w:pPr>
              <w:jc w:val="center"/>
              <w:ind w:left="3358"/>
              <w:spacing w:after="0"/>
              <w:rPr>
                <w:sz w:val="20"/>
                <w:szCs w:val="20"/>
                <w:color w:val="auto"/>
              </w:rPr>
            </w:pPr>
            <w:r>
              <w:rPr>
                <w:rFonts w:ascii="Arial" w:cs="Arial" w:eastAsia="Arial" w:hAnsi="Arial"/>
                <w:sz w:val="18"/>
                <w:szCs w:val="18"/>
                <w:b w:val="1"/>
                <w:bCs w:val="1"/>
                <w:color w:val="auto"/>
                <w:w w:val="90"/>
              </w:rPr>
              <w:t>New York Stock Exchange, Inc.</w:t>
            </w:r>
          </w:p>
        </w:tc>
        <w:tc>
          <w:tcPr>
            <w:tcW w:w="1160" w:type="dxa"/>
            <w:vAlign w:val="bottom"/>
          </w:tcPr>
          <w:p>
            <w:pPr>
              <w:spacing w:after="0"/>
              <w:rPr>
                <w:sz w:val="22"/>
                <w:szCs w:val="22"/>
                <w:color w:val="auto"/>
              </w:rPr>
            </w:pPr>
          </w:p>
        </w:tc>
      </w:tr>
      <w:tr>
        <w:trPr>
          <w:trHeight w:val="324"/>
        </w:trPr>
        <w:tc>
          <w:tcPr>
            <w:tcW w:w="2640" w:type="dxa"/>
            <w:vAlign w:val="bottom"/>
          </w:tcPr>
          <w:p>
            <w:pPr>
              <w:spacing w:after="0"/>
              <w:rPr>
                <w:sz w:val="24"/>
                <w:szCs w:val="24"/>
                <w:color w:val="auto"/>
              </w:rPr>
            </w:pPr>
          </w:p>
        </w:tc>
        <w:tc>
          <w:tcPr>
            <w:tcW w:w="6900" w:type="dxa"/>
            <w:vAlign w:val="bottom"/>
            <w:gridSpan w:val="3"/>
          </w:tcPr>
          <w:p>
            <w:pPr>
              <w:jc w:val="center"/>
              <w:ind w:right="158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1160" w:type="dxa"/>
            <w:vAlign w:val="bottom"/>
          </w:tcPr>
          <w:p>
            <w:pPr>
              <w:spacing w:after="0"/>
              <w:rPr>
                <w:sz w:val="24"/>
                <w:szCs w:val="24"/>
                <w:color w:val="auto"/>
              </w:rPr>
            </w:pPr>
          </w:p>
        </w:tc>
      </w:tr>
      <w:tr>
        <w:trPr>
          <w:trHeight w:val="216"/>
        </w:trPr>
        <w:tc>
          <w:tcPr>
            <w:tcW w:w="2640" w:type="dxa"/>
            <w:vAlign w:val="bottom"/>
          </w:tcPr>
          <w:p>
            <w:pPr>
              <w:spacing w:after="0"/>
              <w:rPr>
                <w:sz w:val="18"/>
                <w:szCs w:val="18"/>
                <w:color w:val="auto"/>
              </w:rPr>
            </w:pPr>
          </w:p>
        </w:tc>
        <w:tc>
          <w:tcPr>
            <w:tcW w:w="5300" w:type="dxa"/>
            <w:vAlign w:val="bottom"/>
            <w:tcBorders>
              <w:bottom w:val="single" w:sz="8" w:color="auto"/>
            </w:tcBorders>
            <w:gridSpan w:val="2"/>
          </w:tcPr>
          <w:p>
            <w:pPr>
              <w:spacing w:after="0"/>
              <w:rPr>
                <w:sz w:val="18"/>
                <w:szCs w:val="18"/>
                <w:color w:val="auto"/>
              </w:rPr>
            </w:pPr>
          </w:p>
        </w:tc>
        <w:tc>
          <w:tcPr>
            <w:tcW w:w="16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05"/>
        </w:trPr>
        <w:tc>
          <w:tcPr>
            <w:tcW w:w="9540" w:type="dxa"/>
            <w:vAlign w:val="bottom"/>
            <w:gridSpan w:val="4"/>
          </w:tcPr>
          <w:p>
            <w:pPr>
              <w:spacing w:after="0" w:line="207" w:lineRule="exact"/>
              <w:rPr>
                <w:sz w:val="20"/>
                <w:szCs w:val="20"/>
                <w:color w:val="auto"/>
              </w:rPr>
            </w:pPr>
            <w:r>
              <w:rPr>
                <w:rFonts w:ascii="Arial" w:cs="Arial" w:eastAsia="Arial" w:hAnsi="Arial"/>
                <w:sz w:val="18"/>
                <w:szCs w:val="18"/>
                <w:color w:val="auto"/>
                <w:w w:val="93"/>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c>
          <w:tcPr>
            <w:tcW w:w="11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954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Exchange Act.</w:t>
            </w:r>
          </w:p>
        </w:tc>
        <w:tc>
          <w:tcPr>
            <w:tcW w:w="116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bl>
    <w:p>
      <w:pPr>
        <w:spacing w:after="0" w:line="128" w:lineRule="exact"/>
        <w:rPr>
          <w:sz w:val="24"/>
          <w:szCs w:val="24"/>
          <w:color w:val="auto"/>
        </w:rPr>
      </w:pPr>
    </w:p>
    <w:p>
      <w:pPr>
        <w:ind w:right="20"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80" w:firstLine="40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0" w:lineRule="exact"/>
        <w:rPr>
          <w:sz w:val="24"/>
          <w:szCs w:val="24"/>
          <w:color w:val="auto"/>
        </w:rPr>
      </w:pPr>
    </w:p>
    <w:p>
      <w:pPr>
        <w:ind w:right="160" w:firstLine="405"/>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smaller reporting company. See definitions of "large accelerated filer," "accelerated filer" and "smaller reporting company" in Rule 12b-2 of the Exchange Act:</w:t>
      </w:r>
    </w:p>
    <w:p>
      <w:pPr>
        <w:sectPr>
          <w:pgSz w:w="11900" w:h="16838" w:orient="portrait"/>
          <w:cols w:equalWidth="0" w:num="1">
            <w:col w:w="11380"/>
          </w:cols>
          <w:pgMar w:left="240" w:top="229" w:right="279" w:bottom="0" w:gutter="0" w:footer="0" w:header="0"/>
        </w:sectPr>
      </w:pPr>
    </w:p>
    <w:p>
      <w:pPr>
        <w:spacing w:after="0" w:line="116" w:lineRule="exact"/>
        <w:rPr>
          <w:sz w:val="24"/>
          <w:szCs w:val="24"/>
          <w:color w:val="auto"/>
        </w:rPr>
      </w:pPr>
    </w:p>
    <w:p>
      <w:pPr>
        <w:ind w:left="50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jc w:val="center"/>
        <w:ind w:right="5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18" w:lineRule="exact"/>
        <w:rPr>
          <w:sz w:val="24"/>
          <w:szCs w:val="24"/>
          <w:color w:val="auto"/>
        </w:rPr>
      </w:pPr>
    </w:p>
    <w:p>
      <w:pPr>
        <w:sectPr>
          <w:pgSz w:w="11900" w:h="16838" w:orient="portrait"/>
          <w:cols w:equalWidth="0" w:num="4">
            <w:col w:w="2740" w:space="720"/>
            <w:col w:w="1980" w:space="720"/>
            <w:col w:w="2020" w:space="720"/>
            <w:col w:w="2480"/>
          </w:cols>
          <w:pgMar w:left="240" w:top="229" w:right="279" w:bottom="0" w:gutter="0" w:footer="0" w:header="0"/>
          <w:type w:val="continuous"/>
        </w:sectPr>
      </w:pPr>
    </w:p>
    <w:p>
      <w:pPr>
        <w:jc w:val="center"/>
        <w:ind w:left="2720"/>
        <w:spacing w:after="0"/>
        <w:rPr>
          <w:sz w:val="20"/>
          <w:szCs w:val="20"/>
          <w:color w:val="auto"/>
        </w:rPr>
      </w:pPr>
      <w:r>
        <w:rPr>
          <w:rFonts w:ascii="Arial" w:cs="Arial" w:eastAsia="Arial" w:hAnsi="Arial"/>
          <w:sz w:val="16"/>
          <w:szCs w:val="16"/>
          <w:color w:val="auto"/>
        </w:rPr>
        <w:t>(Do not check if a smaller</w:t>
      </w:r>
    </w:p>
    <w:p>
      <w:pPr>
        <w:spacing w:after="0" w:line="46" w:lineRule="exact"/>
        <w:rPr>
          <w:sz w:val="24"/>
          <w:szCs w:val="24"/>
          <w:color w:val="auto"/>
        </w:rPr>
      </w:pPr>
    </w:p>
    <w:p>
      <w:pPr>
        <w:jc w:val="center"/>
        <w:ind w:left="2720"/>
        <w:spacing w:after="0"/>
        <w:rPr>
          <w:sz w:val="20"/>
          <w:szCs w:val="20"/>
          <w:color w:val="auto"/>
        </w:rPr>
      </w:pPr>
      <w:r>
        <w:rPr>
          <w:rFonts w:ascii="Arial" w:cs="Arial" w:eastAsia="Arial" w:hAnsi="Arial"/>
          <w:sz w:val="18"/>
          <w:szCs w:val="18"/>
          <w:color w:val="auto"/>
        </w:rPr>
        <w:t>reporting company)</w:t>
      </w:r>
    </w:p>
    <w:p>
      <w:pPr>
        <w:sectPr>
          <w:pgSz w:w="11900" w:h="16838" w:orient="portrait"/>
          <w:cols w:equalWidth="0" w:num="1">
            <w:col w:w="11380"/>
          </w:cols>
          <w:pgMar w:left="240" w:top="229" w:right="279" w:bottom="0" w:gutter="0" w:footer="0" w:header="0"/>
          <w:type w:val="continuous"/>
        </w:sectPr>
      </w:pPr>
    </w:p>
    <w:p>
      <w:pPr>
        <w:spacing w:after="0" w:line="13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7" w:lineRule="exact"/>
        <w:rPr>
          <w:sz w:val="24"/>
          <w:szCs w:val="24"/>
          <w:color w:val="auto"/>
        </w:rPr>
      </w:pPr>
    </w:p>
    <w:p>
      <w:pPr>
        <w:sectPr>
          <w:pgSz w:w="11900" w:h="16838" w:orient="portrait"/>
          <w:cols w:equalWidth="0" w:num="5">
            <w:col w:w="7860" w:space="180"/>
            <w:col w:w="260" w:space="80"/>
            <w:col w:w="160" w:space="180"/>
            <w:col w:w="220" w:space="100"/>
            <w:col w:w="2340"/>
          </w:cols>
          <w:pgMar w:left="240" w:top="229" w:right="279" w:bottom="0" w:gutter="0" w:footer="0" w:header="0"/>
          <w:type w:val="continuous"/>
        </w:sectPr>
      </w:pPr>
    </w:p>
    <w:p>
      <w:pPr>
        <w:jc w:val="both"/>
        <w:ind w:right="380" w:firstLine="432"/>
        <w:spacing w:after="0" w:line="264" w:lineRule="auto"/>
        <w:rPr>
          <w:sz w:val="20"/>
          <w:szCs w:val="20"/>
          <w:color w:val="auto"/>
        </w:rPr>
      </w:pPr>
      <w:r>
        <w:rPr>
          <w:rFonts w:ascii="Arial" w:cs="Arial" w:eastAsia="Arial" w:hAnsi="Arial"/>
          <w:sz w:val="18"/>
          <w:szCs w:val="18"/>
          <w:color w:val="auto"/>
        </w:rPr>
        <w:t>The aggregate market value of the registrant's voting stock held by non-affiliates of the registrant on June 30, 2015, the end of the registrant's most recently completed second fiscal quarter, based on a closing price on June 30, 2015 of $68.59 on the New York Stock Exchange was approximately $2.7 billion.</w:t>
      </w:r>
    </w:p>
    <w:p>
      <w:pPr>
        <w:spacing w:after="0" w:line="73" w:lineRule="exact"/>
        <w:rPr>
          <w:sz w:val="24"/>
          <w:szCs w:val="24"/>
          <w:color w:val="auto"/>
        </w:rPr>
      </w:pPr>
    </w:p>
    <w:p>
      <w:pPr>
        <w:jc w:val="right"/>
        <w:ind w:left="440" w:right="3580"/>
        <w:spacing w:after="0" w:line="465" w:lineRule="auto"/>
        <w:rPr>
          <w:sz w:val="20"/>
          <w:szCs w:val="20"/>
          <w:color w:val="auto"/>
        </w:rPr>
      </w:pPr>
      <w:r>
        <w:rPr>
          <w:rFonts w:ascii="Arial" w:cs="Arial" w:eastAsia="Arial" w:hAnsi="Arial"/>
          <w:sz w:val="18"/>
          <w:szCs w:val="18"/>
          <w:color w:val="auto"/>
        </w:rPr>
        <w:t xml:space="preserve">There were 130,218,346 shares of the registrant's common stock outstanding as of February 17, 2016. </w:t>
      </w:r>
      <w:r>
        <w:rPr>
          <w:rFonts w:ascii="Arial" w:cs="Arial" w:eastAsia="Arial" w:hAnsi="Arial"/>
          <w:sz w:val="18"/>
          <w:szCs w:val="18"/>
          <w:b w:val="1"/>
          <w:bCs w:val="1"/>
          <w:color w:val="auto"/>
        </w:rPr>
        <w:t>DOCUMENTS INCORPORATED BY REFERENCE:</w:t>
      </w:r>
    </w:p>
    <w:p>
      <w:pPr>
        <w:sectPr>
          <w:pgSz w:w="11900" w:h="16838" w:orient="portrait"/>
          <w:cols w:equalWidth="0" w:num="1">
            <w:col w:w="11380"/>
          </w:cols>
          <w:pgMar w:left="240" w:top="229" w:right="279" w:bottom="0" w:gutter="0" w:footer="0" w:header="0"/>
          <w:type w:val="continuous"/>
        </w:sectPr>
      </w:pPr>
    </w:p>
    <w:bookmarkStart w:id="1" w:name="page2"/>
    <w:bookmarkEnd w:id="1"/>
    <w:p>
      <w:pPr>
        <w:ind w:firstLine="432"/>
        <w:spacing w:after="0" w:line="308" w:lineRule="auto"/>
        <w:rPr>
          <w:sz w:val="20"/>
          <w:szCs w:val="20"/>
          <w:color w:val="auto"/>
        </w:rPr>
      </w:pPr>
      <w:r>
        <w:rPr>
          <w:rFonts w:ascii="Arial" w:cs="Arial" w:eastAsia="Arial" w:hAnsi="Arial"/>
          <w:sz w:val="17"/>
          <w:szCs w:val="17"/>
          <w:color w:val="auto"/>
        </w:rPr>
        <w:t>Certain information required by Part II and Part III of this Form 10-K is incorporated by reference from the registrant's definitive Proxy Statement to be filed pursuant to Regulation 14A with respect to the registrant's 2016 Annual Meeting of Stockholders to be held on May 10, 2016.</w:t>
      </w:r>
    </w:p>
    <w:p>
      <w:pPr>
        <w:sectPr>
          <w:pgSz w:w="11900" w:h="16838" w:orient="portrait"/>
          <w:cols w:equalWidth="0" w:num="1">
            <w:col w:w="11360"/>
          </w:cols>
          <w:pgMar w:left="240" w:top="233" w:right="29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9640" w:type="dxa"/>
            <w:vAlign w:val="bottom"/>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8"/>
        </w:trPr>
        <w:tc>
          <w:tcPr>
            <w:tcW w:w="440" w:type="dxa"/>
            <w:vAlign w:val="bottom"/>
          </w:tcPr>
          <w:p>
            <w:pPr>
              <w:spacing w:after="0"/>
              <w:rPr>
                <w:sz w:val="24"/>
                <w:szCs w:val="24"/>
                <w:color w:val="auto"/>
              </w:rPr>
            </w:pPr>
          </w:p>
        </w:tc>
        <w:tc>
          <w:tcPr>
            <w:tcW w:w="9640" w:type="dxa"/>
            <w:vAlign w:val="bottom"/>
          </w:tcPr>
          <w:p>
            <w:pPr>
              <w:spacing w:after="0"/>
              <w:rPr>
                <w:sz w:val="24"/>
                <w:szCs w:val="24"/>
                <w:color w:val="auto"/>
              </w:rPr>
            </w:pPr>
          </w:p>
        </w:tc>
        <w:tc>
          <w:tcPr>
            <w:tcW w:w="900" w:type="dxa"/>
            <w:vAlign w:val="bottom"/>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80"/>
        </w:trPr>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Item</w:t>
            </w:r>
          </w:p>
        </w:tc>
        <w:tc>
          <w:tcPr>
            <w:tcW w:w="9640" w:type="dxa"/>
            <w:vAlign w:val="bottom"/>
            <w:vMerge w:val="restart"/>
          </w:tcPr>
          <w:p>
            <w:pPr>
              <w:jc w:val="center"/>
              <w:spacing w:after="0"/>
              <w:rPr>
                <w:rFonts w:ascii="Arial" w:cs="Arial" w:eastAsia="Arial" w:hAnsi="Arial"/>
                <w:sz w:val="18"/>
                <w:szCs w:val="18"/>
                <w:b w:val="1"/>
                <w:bCs w:val="1"/>
                <w:color w:val="auto"/>
                <w:w w:val="98"/>
              </w:rPr>
            </w:pPr>
            <w:hyperlink w:anchor="page4">
              <w:r>
                <w:rPr>
                  <w:rFonts w:ascii="Arial" w:cs="Arial" w:eastAsia="Arial" w:hAnsi="Arial"/>
                  <w:sz w:val="18"/>
                  <w:szCs w:val="18"/>
                  <w:b w:val="1"/>
                  <w:bCs w:val="1"/>
                  <w:color w:val="auto"/>
                  <w:w w:val="98"/>
                </w:rPr>
                <w:t>PART I</w:t>
              </w:r>
            </w:hyperlink>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40" w:type="dxa"/>
            <w:vAlign w:val="bottom"/>
            <w:vMerge w:val="continue"/>
          </w:tcPr>
          <w:p>
            <w:pPr>
              <w:spacing w:after="0"/>
              <w:rPr>
                <w:sz w:val="19"/>
                <w:szCs w:val="19"/>
                <w:color w:val="auto"/>
              </w:rPr>
            </w:pPr>
          </w:p>
        </w:tc>
        <w:tc>
          <w:tcPr>
            <w:tcW w:w="964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440" w:type="dxa"/>
            <w:vAlign w:val="bottom"/>
            <w:vMerge w:val="continue"/>
          </w:tcPr>
          <w:p>
            <w:pPr>
              <w:spacing w:after="0"/>
              <w:rPr>
                <w:sz w:val="24"/>
                <w:szCs w:val="24"/>
                <w:color w:val="auto"/>
              </w:rPr>
            </w:pPr>
          </w:p>
        </w:tc>
        <w:tc>
          <w:tcPr>
            <w:tcW w:w="9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1)</w:t>
              </w:r>
            </w:hyperlink>
          </w:p>
        </w:tc>
        <w:tc>
          <w:tcPr>
            <w:tcW w:w="9640" w:type="dxa"/>
            <w:vAlign w:val="bottom"/>
          </w:tcPr>
          <w:p>
            <w:pPr>
              <w:ind w:left="8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9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1A)</w:t>
              </w:r>
            </w:hyperlink>
          </w:p>
        </w:tc>
        <w:tc>
          <w:tcPr>
            <w:tcW w:w="9640" w:type="dxa"/>
            <w:vAlign w:val="bottom"/>
          </w:tcPr>
          <w:p>
            <w:pPr>
              <w:ind w:left="80"/>
              <w:spacing w:after="0"/>
              <w:rPr>
                <w:rFonts w:ascii="Arial" w:cs="Arial" w:eastAsia="Arial" w:hAnsi="Arial"/>
                <w:sz w:val="18"/>
                <w:szCs w:val="18"/>
                <w:color w:val="auto"/>
              </w:rPr>
            </w:pPr>
            <w:hyperlink w:anchor="page13">
              <w:r>
                <w:rPr>
                  <w:rFonts w:ascii="Arial" w:cs="Arial" w:eastAsia="Arial" w:hAnsi="Arial"/>
                  <w:sz w:val="18"/>
                  <w:szCs w:val="18"/>
                  <w:color w:val="auto"/>
                </w:rPr>
                <w:t>Risk Factors</w:t>
              </w:r>
            </w:hyperlink>
          </w:p>
        </w:tc>
        <w:tc>
          <w:tcPr>
            <w:tcW w:w="900" w:type="dxa"/>
            <w:vAlign w:val="bottom"/>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9</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1B)</w:t>
              </w:r>
            </w:hyperlink>
          </w:p>
        </w:tc>
        <w:tc>
          <w:tcPr>
            <w:tcW w:w="9640" w:type="dxa"/>
            <w:vAlign w:val="bottom"/>
          </w:tcPr>
          <w:p>
            <w:pPr>
              <w:ind w:left="80"/>
              <w:spacing w:after="0"/>
              <w:rPr>
                <w:rFonts w:ascii="Arial" w:cs="Arial" w:eastAsia="Arial" w:hAnsi="Arial"/>
                <w:sz w:val="18"/>
                <w:szCs w:val="18"/>
                <w:color w:val="auto"/>
              </w:rPr>
            </w:pPr>
            <w:hyperlink w:anchor="page24">
              <w:r>
                <w:rPr>
                  <w:rFonts w:ascii="Arial" w:cs="Arial" w:eastAsia="Arial" w:hAnsi="Arial"/>
                  <w:sz w:val="18"/>
                  <w:szCs w:val="18"/>
                  <w:color w:val="auto"/>
                </w:rPr>
                <w:t>Unresolved Staff Comments</w:t>
              </w:r>
            </w:hyperlink>
          </w:p>
        </w:tc>
        <w:tc>
          <w:tcPr>
            <w:tcW w:w="90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20</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w:t>
              </w:r>
            </w:hyperlink>
          </w:p>
        </w:tc>
        <w:tc>
          <w:tcPr>
            <w:tcW w:w="9640" w:type="dxa"/>
            <w:vAlign w:val="bottom"/>
          </w:tcPr>
          <w:p>
            <w:pPr>
              <w:ind w:left="80"/>
              <w:spacing w:after="0"/>
              <w:rPr>
                <w:rFonts w:ascii="Arial" w:cs="Arial" w:eastAsia="Arial" w:hAnsi="Arial"/>
                <w:sz w:val="18"/>
                <w:szCs w:val="18"/>
                <w:color w:val="auto"/>
              </w:rPr>
            </w:pPr>
            <w:hyperlink w:anchor="page24">
              <w:r>
                <w:rPr>
                  <w:rFonts w:ascii="Arial" w:cs="Arial" w:eastAsia="Arial" w:hAnsi="Arial"/>
                  <w:sz w:val="18"/>
                  <w:szCs w:val="18"/>
                  <w:color w:val="auto"/>
                </w:rPr>
                <w:t>Properties</w:t>
              </w:r>
            </w:hyperlink>
          </w:p>
        </w:tc>
        <w:tc>
          <w:tcPr>
            <w:tcW w:w="90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20</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3)</w:t>
              </w:r>
            </w:hyperlink>
          </w:p>
        </w:tc>
        <w:tc>
          <w:tcPr>
            <w:tcW w:w="9640" w:type="dxa"/>
            <w:vAlign w:val="bottom"/>
          </w:tcPr>
          <w:p>
            <w:pPr>
              <w:ind w:left="80"/>
              <w:spacing w:after="0"/>
              <w:rPr>
                <w:rFonts w:ascii="Arial" w:cs="Arial" w:eastAsia="Arial" w:hAnsi="Arial"/>
                <w:sz w:val="18"/>
                <w:szCs w:val="18"/>
                <w:color w:val="auto"/>
              </w:rPr>
            </w:pPr>
            <w:hyperlink w:anchor="page26">
              <w:r>
                <w:rPr>
                  <w:rFonts w:ascii="Arial" w:cs="Arial" w:eastAsia="Arial" w:hAnsi="Arial"/>
                  <w:sz w:val="18"/>
                  <w:szCs w:val="18"/>
                  <w:color w:val="auto"/>
                </w:rPr>
                <w:t>Legal Proceedings</w:t>
              </w:r>
            </w:hyperlink>
          </w:p>
        </w:tc>
        <w:tc>
          <w:tcPr>
            <w:tcW w:w="90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22</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4)</w:t>
              </w:r>
            </w:hyperlink>
          </w:p>
        </w:tc>
        <w:tc>
          <w:tcPr>
            <w:tcW w:w="9640" w:type="dxa"/>
            <w:vAlign w:val="bottom"/>
          </w:tcPr>
          <w:p>
            <w:pPr>
              <w:ind w:left="80"/>
              <w:spacing w:after="0"/>
              <w:rPr>
                <w:rFonts w:ascii="Arial" w:cs="Arial" w:eastAsia="Arial" w:hAnsi="Arial"/>
                <w:sz w:val="18"/>
                <w:szCs w:val="18"/>
                <w:color w:val="auto"/>
              </w:rPr>
            </w:pPr>
            <w:hyperlink w:anchor="page26">
              <w:r>
                <w:rPr>
                  <w:rFonts w:ascii="Arial" w:cs="Arial" w:eastAsia="Arial" w:hAnsi="Arial"/>
                  <w:sz w:val="18"/>
                  <w:szCs w:val="18"/>
                  <w:color w:val="auto"/>
                </w:rPr>
                <w:t>Mine Safety Disclosure</w:t>
              </w:r>
            </w:hyperlink>
          </w:p>
        </w:tc>
        <w:tc>
          <w:tcPr>
            <w:tcW w:w="90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22</w:t>
              </w:r>
            </w:hyperlink>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9640" w:type="dxa"/>
            <w:vAlign w:val="bottom"/>
          </w:tcPr>
          <w:p>
            <w:pPr>
              <w:ind w:left="80"/>
              <w:spacing w:after="0"/>
              <w:rPr>
                <w:rFonts w:ascii="Arial" w:cs="Arial" w:eastAsia="Arial" w:hAnsi="Arial"/>
                <w:sz w:val="18"/>
                <w:szCs w:val="18"/>
                <w:color w:val="auto"/>
              </w:rPr>
            </w:pPr>
            <w:hyperlink w:anchor="page26">
              <w:r>
                <w:rPr>
                  <w:rFonts w:ascii="Arial" w:cs="Arial" w:eastAsia="Arial" w:hAnsi="Arial"/>
                  <w:sz w:val="18"/>
                  <w:szCs w:val="18"/>
                  <w:color w:val="auto"/>
                </w:rPr>
                <w:t>Executive Officers of the Registrant</w:t>
              </w:r>
            </w:hyperlink>
          </w:p>
        </w:tc>
        <w:tc>
          <w:tcPr>
            <w:tcW w:w="90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22</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640" w:type="dxa"/>
            <w:vAlign w:val="bottom"/>
          </w:tcPr>
          <w:p>
            <w:pPr>
              <w:jc w:val="center"/>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PART II</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44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5)</w:t>
              </w:r>
            </w:hyperlink>
          </w:p>
        </w:tc>
        <w:tc>
          <w:tcPr>
            <w:tcW w:w="9640" w:type="dxa"/>
            <w:vAlign w:val="bottom"/>
          </w:tcPr>
          <w:p>
            <w:pPr>
              <w:ind w:left="80"/>
              <w:spacing w:after="0"/>
              <w:rPr>
                <w:rFonts w:ascii="Arial" w:cs="Arial" w:eastAsia="Arial" w:hAnsi="Arial"/>
                <w:sz w:val="18"/>
                <w:szCs w:val="18"/>
                <w:color w:val="auto"/>
              </w:rPr>
            </w:pPr>
            <w:hyperlink w:anchor="page28">
              <w:r>
                <w:rPr>
                  <w:rFonts w:ascii="Arial" w:cs="Arial" w:eastAsia="Arial" w:hAnsi="Arial"/>
                  <w:sz w:val="18"/>
                  <w:szCs w:val="18"/>
                  <w:color w:val="auto"/>
                </w:rPr>
                <w:t>Market for Registrant's Common Equity, Related Stockholder Matters and Issuer Purchases</w:t>
              </w:r>
            </w:hyperlink>
          </w:p>
        </w:tc>
        <w:tc>
          <w:tcPr>
            <w:tcW w:w="9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24</w:t>
              </w:r>
            </w:hyperlink>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9640" w:type="dxa"/>
            <w:vAlign w:val="bottom"/>
          </w:tcPr>
          <w:p>
            <w:pPr>
              <w:ind w:left="220"/>
              <w:spacing w:after="0"/>
              <w:rPr>
                <w:rFonts w:ascii="Arial" w:cs="Arial" w:eastAsia="Arial" w:hAnsi="Arial"/>
                <w:sz w:val="18"/>
                <w:szCs w:val="18"/>
                <w:color w:val="auto"/>
              </w:rPr>
            </w:pPr>
            <w:hyperlink w:anchor="page28">
              <w:r>
                <w:rPr>
                  <w:rFonts w:ascii="Arial" w:cs="Arial" w:eastAsia="Arial" w:hAnsi="Arial"/>
                  <w:sz w:val="18"/>
                  <w:szCs w:val="18"/>
                  <w:color w:val="auto"/>
                </w:rPr>
                <w:t>of Equity Securities</w:t>
              </w:r>
            </w:hyperlink>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6)</w:t>
              </w:r>
            </w:hyperlink>
          </w:p>
        </w:tc>
        <w:tc>
          <w:tcPr>
            <w:tcW w:w="9640" w:type="dxa"/>
            <w:vAlign w:val="bottom"/>
          </w:tcPr>
          <w:p>
            <w:pPr>
              <w:ind w:left="80"/>
              <w:spacing w:after="0"/>
              <w:rPr>
                <w:rFonts w:ascii="Arial" w:cs="Arial" w:eastAsia="Arial" w:hAnsi="Arial"/>
                <w:sz w:val="18"/>
                <w:szCs w:val="18"/>
                <w:color w:val="auto"/>
              </w:rPr>
            </w:pPr>
            <w:hyperlink w:anchor="page29">
              <w:r>
                <w:rPr>
                  <w:rFonts w:ascii="Arial" w:cs="Arial" w:eastAsia="Arial" w:hAnsi="Arial"/>
                  <w:sz w:val="18"/>
                  <w:szCs w:val="18"/>
                  <w:color w:val="auto"/>
                </w:rPr>
                <w:t>Selected Financial and Operational Data</w:t>
              </w:r>
            </w:hyperlink>
          </w:p>
        </w:tc>
        <w:tc>
          <w:tcPr>
            <w:tcW w:w="9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7)</w:t>
              </w:r>
            </w:hyperlink>
          </w:p>
        </w:tc>
        <w:tc>
          <w:tcPr>
            <w:tcW w:w="9640" w:type="dxa"/>
            <w:vAlign w:val="bottom"/>
          </w:tcPr>
          <w:p>
            <w:pPr>
              <w:ind w:left="80"/>
              <w:spacing w:after="0"/>
              <w:rPr>
                <w:rFonts w:ascii="Arial" w:cs="Arial" w:eastAsia="Arial" w:hAnsi="Arial"/>
                <w:sz w:val="18"/>
                <w:szCs w:val="18"/>
                <w:color w:val="auto"/>
              </w:rPr>
            </w:pPr>
            <w:hyperlink w:anchor="page32">
              <w:r>
                <w:rPr>
                  <w:rFonts w:ascii="Arial" w:cs="Arial" w:eastAsia="Arial" w:hAnsi="Arial"/>
                  <w:sz w:val="18"/>
                  <w:szCs w:val="18"/>
                  <w:color w:val="auto"/>
                </w:rPr>
                <w:t>Management's Discussion and Analysis of Financial Condition and Results of Operations</w:t>
              </w:r>
            </w:hyperlink>
          </w:p>
        </w:tc>
        <w:tc>
          <w:tcPr>
            <w:tcW w:w="90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7A)</w:t>
              </w:r>
            </w:hyperlink>
          </w:p>
        </w:tc>
        <w:tc>
          <w:tcPr>
            <w:tcW w:w="9640" w:type="dxa"/>
            <w:vAlign w:val="bottom"/>
          </w:tcPr>
          <w:p>
            <w:pPr>
              <w:ind w:left="80"/>
              <w:spacing w:after="0"/>
              <w:rPr>
                <w:rFonts w:ascii="Arial" w:cs="Arial" w:eastAsia="Arial" w:hAnsi="Arial"/>
                <w:sz w:val="18"/>
                <w:szCs w:val="18"/>
                <w:color w:val="auto"/>
              </w:rPr>
            </w:pPr>
            <w:hyperlink w:anchor="page47">
              <w:r>
                <w:rPr>
                  <w:rFonts w:ascii="Arial" w:cs="Arial" w:eastAsia="Arial" w:hAnsi="Arial"/>
                  <w:sz w:val="18"/>
                  <w:szCs w:val="18"/>
                  <w:color w:val="auto"/>
                </w:rPr>
                <w:t>Quantitative and Qualitative Disclosures about Market Risk</w:t>
              </w:r>
            </w:hyperlink>
          </w:p>
        </w:tc>
        <w:tc>
          <w:tcPr>
            <w:tcW w:w="90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8)</w:t>
              </w:r>
            </w:hyperlink>
          </w:p>
        </w:tc>
        <w:tc>
          <w:tcPr>
            <w:tcW w:w="9640" w:type="dxa"/>
            <w:vAlign w:val="bottom"/>
          </w:tcPr>
          <w:p>
            <w:pPr>
              <w:ind w:left="80"/>
              <w:spacing w:after="0"/>
              <w:rPr>
                <w:rFonts w:ascii="Arial" w:cs="Arial" w:eastAsia="Arial" w:hAnsi="Arial"/>
                <w:sz w:val="18"/>
                <w:szCs w:val="18"/>
                <w:color w:val="auto"/>
              </w:rPr>
            </w:pPr>
            <w:hyperlink w:anchor="page48">
              <w:r>
                <w:rPr>
                  <w:rFonts w:ascii="Arial" w:cs="Arial" w:eastAsia="Arial" w:hAnsi="Arial"/>
                  <w:sz w:val="18"/>
                  <w:szCs w:val="18"/>
                  <w:color w:val="auto"/>
                </w:rPr>
                <w:t>Financial Statements and Supplementary Data</w:t>
              </w:r>
            </w:hyperlink>
          </w:p>
        </w:tc>
        <w:tc>
          <w:tcPr>
            <w:tcW w:w="90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11">
              <w:r>
                <w:rPr>
                  <w:rFonts w:ascii="Arial" w:cs="Arial" w:eastAsia="Arial" w:hAnsi="Arial"/>
                  <w:sz w:val="18"/>
                  <w:szCs w:val="18"/>
                  <w:color w:val="auto"/>
                </w:rPr>
                <w:t>9)</w:t>
              </w:r>
            </w:hyperlink>
          </w:p>
        </w:tc>
        <w:tc>
          <w:tcPr>
            <w:tcW w:w="9640" w:type="dxa"/>
            <w:vAlign w:val="bottom"/>
          </w:tcPr>
          <w:p>
            <w:pPr>
              <w:ind w:left="80"/>
              <w:spacing w:after="0"/>
              <w:rPr>
                <w:rFonts w:ascii="Arial" w:cs="Arial" w:eastAsia="Arial" w:hAnsi="Arial"/>
                <w:sz w:val="18"/>
                <w:szCs w:val="18"/>
                <w:color w:val="auto"/>
              </w:rPr>
            </w:pPr>
            <w:hyperlink w:anchor="page111">
              <w:r>
                <w:rPr>
                  <w:rFonts w:ascii="Arial" w:cs="Arial" w:eastAsia="Arial" w:hAnsi="Arial"/>
                  <w:sz w:val="18"/>
                  <w:szCs w:val="18"/>
                  <w:color w:val="auto"/>
                </w:rPr>
                <w:t>Changes in and Disagreements with Accountants on Accounting and Financial Disclosure</w:t>
              </w:r>
            </w:hyperlink>
          </w:p>
        </w:tc>
        <w:tc>
          <w:tcPr>
            <w:tcW w:w="900" w:type="dxa"/>
            <w:vAlign w:val="bottom"/>
          </w:tcPr>
          <w:p>
            <w:pPr>
              <w:jc w:val="right"/>
              <w:spacing w:after="0"/>
              <w:rPr>
                <w:rFonts w:ascii="Arial" w:cs="Arial" w:eastAsia="Arial" w:hAnsi="Arial"/>
                <w:sz w:val="18"/>
                <w:szCs w:val="18"/>
                <w:color w:val="auto"/>
              </w:rPr>
            </w:pPr>
            <w:hyperlink w:anchor="page111">
              <w:r>
                <w:rPr>
                  <w:rFonts w:ascii="Arial" w:cs="Arial" w:eastAsia="Arial" w:hAnsi="Arial"/>
                  <w:sz w:val="18"/>
                  <w:szCs w:val="18"/>
                  <w:color w:val="auto"/>
                </w:rPr>
                <w:t>105</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11">
              <w:r>
                <w:rPr>
                  <w:rFonts w:ascii="Arial" w:cs="Arial" w:eastAsia="Arial" w:hAnsi="Arial"/>
                  <w:sz w:val="18"/>
                  <w:szCs w:val="18"/>
                  <w:color w:val="auto"/>
                </w:rPr>
                <w:t>9A)</w:t>
              </w:r>
            </w:hyperlink>
          </w:p>
        </w:tc>
        <w:tc>
          <w:tcPr>
            <w:tcW w:w="9640" w:type="dxa"/>
            <w:vAlign w:val="bottom"/>
          </w:tcPr>
          <w:p>
            <w:pPr>
              <w:ind w:left="80"/>
              <w:spacing w:after="0"/>
              <w:rPr>
                <w:rFonts w:ascii="Arial" w:cs="Arial" w:eastAsia="Arial" w:hAnsi="Arial"/>
                <w:sz w:val="18"/>
                <w:szCs w:val="18"/>
                <w:color w:val="auto"/>
              </w:rPr>
            </w:pPr>
            <w:hyperlink w:anchor="page111">
              <w:r>
                <w:rPr>
                  <w:rFonts w:ascii="Arial" w:cs="Arial" w:eastAsia="Arial" w:hAnsi="Arial"/>
                  <w:sz w:val="18"/>
                  <w:szCs w:val="18"/>
                  <w:color w:val="auto"/>
                </w:rPr>
                <w:t>Controls and Procedures</w:t>
              </w:r>
            </w:hyperlink>
          </w:p>
        </w:tc>
        <w:tc>
          <w:tcPr>
            <w:tcW w:w="900" w:type="dxa"/>
            <w:vAlign w:val="bottom"/>
          </w:tcPr>
          <w:p>
            <w:pPr>
              <w:jc w:val="right"/>
              <w:spacing w:after="0"/>
              <w:rPr>
                <w:rFonts w:ascii="Arial" w:cs="Arial" w:eastAsia="Arial" w:hAnsi="Arial"/>
                <w:sz w:val="18"/>
                <w:szCs w:val="18"/>
                <w:color w:val="auto"/>
              </w:rPr>
            </w:pPr>
            <w:hyperlink w:anchor="page111">
              <w:r>
                <w:rPr>
                  <w:rFonts w:ascii="Arial" w:cs="Arial" w:eastAsia="Arial" w:hAnsi="Arial"/>
                  <w:sz w:val="18"/>
                  <w:szCs w:val="18"/>
                  <w:color w:val="auto"/>
                </w:rPr>
                <w:t>105</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11">
              <w:r>
                <w:rPr>
                  <w:rFonts w:ascii="Arial" w:cs="Arial" w:eastAsia="Arial" w:hAnsi="Arial"/>
                  <w:sz w:val="18"/>
                  <w:szCs w:val="18"/>
                  <w:color w:val="auto"/>
                </w:rPr>
                <w:t>9B)</w:t>
              </w:r>
            </w:hyperlink>
          </w:p>
        </w:tc>
        <w:tc>
          <w:tcPr>
            <w:tcW w:w="9640" w:type="dxa"/>
            <w:vAlign w:val="bottom"/>
          </w:tcPr>
          <w:p>
            <w:pPr>
              <w:ind w:left="80"/>
              <w:spacing w:after="0"/>
              <w:rPr>
                <w:rFonts w:ascii="Arial" w:cs="Arial" w:eastAsia="Arial" w:hAnsi="Arial"/>
                <w:sz w:val="18"/>
                <w:szCs w:val="18"/>
                <w:color w:val="auto"/>
              </w:rPr>
            </w:pPr>
            <w:hyperlink w:anchor="page111">
              <w:r>
                <w:rPr>
                  <w:rFonts w:ascii="Arial" w:cs="Arial" w:eastAsia="Arial" w:hAnsi="Arial"/>
                  <w:sz w:val="18"/>
                  <w:szCs w:val="18"/>
                  <w:color w:val="auto"/>
                </w:rPr>
                <w:t>Other Information</w:t>
              </w:r>
            </w:hyperlink>
          </w:p>
        </w:tc>
        <w:tc>
          <w:tcPr>
            <w:tcW w:w="900" w:type="dxa"/>
            <w:vAlign w:val="bottom"/>
          </w:tcPr>
          <w:p>
            <w:pPr>
              <w:jc w:val="right"/>
              <w:spacing w:after="0"/>
              <w:rPr>
                <w:rFonts w:ascii="Arial" w:cs="Arial" w:eastAsia="Arial" w:hAnsi="Arial"/>
                <w:sz w:val="18"/>
                <w:szCs w:val="18"/>
                <w:color w:val="auto"/>
              </w:rPr>
            </w:pPr>
            <w:hyperlink w:anchor="page111">
              <w:r>
                <w:rPr>
                  <w:rFonts w:ascii="Arial" w:cs="Arial" w:eastAsia="Arial" w:hAnsi="Arial"/>
                  <w:sz w:val="18"/>
                  <w:szCs w:val="18"/>
                  <w:color w:val="auto"/>
                </w:rPr>
                <w:t>105</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640" w:type="dxa"/>
            <w:vAlign w:val="bottom"/>
          </w:tcPr>
          <w:p>
            <w:pPr>
              <w:jc w:val="center"/>
              <w:spacing w:after="0"/>
              <w:rPr>
                <w:rFonts w:ascii="Arial" w:cs="Arial" w:eastAsia="Arial" w:hAnsi="Arial"/>
                <w:sz w:val="18"/>
                <w:szCs w:val="18"/>
                <w:b w:val="1"/>
                <w:bCs w:val="1"/>
                <w:color w:val="auto"/>
              </w:rPr>
            </w:pPr>
            <w:hyperlink w:anchor="page111">
              <w:r>
                <w:rPr>
                  <w:rFonts w:ascii="Arial" w:cs="Arial" w:eastAsia="Arial" w:hAnsi="Arial"/>
                  <w:sz w:val="18"/>
                  <w:szCs w:val="18"/>
                  <w:b w:val="1"/>
                  <w:bCs w:val="1"/>
                  <w:color w:val="auto"/>
                </w:rPr>
                <w:t>PART III</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4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10)</w:t>
              </w:r>
            </w:hyperlink>
          </w:p>
        </w:tc>
        <w:tc>
          <w:tcPr>
            <w:tcW w:w="9640" w:type="dxa"/>
            <w:vAlign w:val="bottom"/>
          </w:tcPr>
          <w:p>
            <w:pPr>
              <w:ind w:left="80"/>
              <w:spacing w:after="0"/>
              <w:rPr>
                <w:rFonts w:ascii="Arial" w:cs="Arial" w:eastAsia="Arial" w:hAnsi="Arial"/>
                <w:sz w:val="18"/>
                <w:szCs w:val="18"/>
                <w:color w:val="auto"/>
              </w:rPr>
            </w:pPr>
            <w:hyperlink w:anchor="page112">
              <w:r>
                <w:rPr>
                  <w:rFonts w:ascii="Arial" w:cs="Arial" w:eastAsia="Arial" w:hAnsi="Arial"/>
                  <w:sz w:val="18"/>
                  <w:szCs w:val="18"/>
                  <w:color w:val="auto"/>
                </w:rPr>
                <w:t>Directors, Executive Officers and Corporate Governance</w:t>
              </w:r>
            </w:hyperlink>
          </w:p>
        </w:tc>
        <w:tc>
          <w:tcPr>
            <w:tcW w:w="90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106</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11)</w:t>
              </w:r>
            </w:hyperlink>
          </w:p>
        </w:tc>
        <w:tc>
          <w:tcPr>
            <w:tcW w:w="9640" w:type="dxa"/>
            <w:vAlign w:val="bottom"/>
          </w:tcPr>
          <w:p>
            <w:pPr>
              <w:ind w:left="80"/>
              <w:spacing w:after="0"/>
              <w:rPr>
                <w:rFonts w:ascii="Arial" w:cs="Arial" w:eastAsia="Arial" w:hAnsi="Arial"/>
                <w:sz w:val="18"/>
                <w:szCs w:val="18"/>
                <w:color w:val="auto"/>
              </w:rPr>
            </w:pPr>
            <w:hyperlink w:anchor="page112">
              <w:r>
                <w:rPr>
                  <w:rFonts w:ascii="Arial" w:cs="Arial" w:eastAsia="Arial" w:hAnsi="Arial"/>
                  <w:sz w:val="18"/>
                  <w:szCs w:val="18"/>
                  <w:color w:val="auto"/>
                </w:rPr>
                <w:t>Executive Compensation</w:t>
              </w:r>
            </w:hyperlink>
          </w:p>
        </w:tc>
        <w:tc>
          <w:tcPr>
            <w:tcW w:w="90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106</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12)</w:t>
              </w:r>
            </w:hyperlink>
          </w:p>
        </w:tc>
        <w:tc>
          <w:tcPr>
            <w:tcW w:w="9640" w:type="dxa"/>
            <w:vAlign w:val="bottom"/>
          </w:tcPr>
          <w:p>
            <w:pPr>
              <w:ind w:left="80"/>
              <w:spacing w:after="0"/>
              <w:rPr>
                <w:rFonts w:ascii="Arial" w:cs="Arial" w:eastAsia="Arial" w:hAnsi="Arial"/>
                <w:sz w:val="18"/>
                <w:szCs w:val="18"/>
                <w:color w:val="auto"/>
              </w:rPr>
            </w:pPr>
            <w:hyperlink w:anchor="page112">
              <w:r>
                <w:rPr>
                  <w:rFonts w:ascii="Arial" w:cs="Arial" w:eastAsia="Arial" w:hAnsi="Arial"/>
                  <w:sz w:val="18"/>
                  <w:szCs w:val="18"/>
                  <w:color w:val="auto"/>
                </w:rPr>
                <w:t>Security Ownership of Certain Beneficial Owners and Management and Related Stockholder Matters</w:t>
              </w:r>
            </w:hyperlink>
          </w:p>
        </w:tc>
        <w:tc>
          <w:tcPr>
            <w:tcW w:w="90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106</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13)</w:t>
              </w:r>
            </w:hyperlink>
          </w:p>
        </w:tc>
        <w:tc>
          <w:tcPr>
            <w:tcW w:w="9640" w:type="dxa"/>
            <w:vAlign w:val="bottom"/>
          </w:tcPr>
          <w:p>
            <w:pPr>
              <w:ind w:left="80"/>
              <w:spacing w:after="0"/>
              <w:rPr>
                <w:rFonts w:ascii="Arial" w:cs="Arial" w:eastAsia="Arial" w:hAnsi="Arial"/>
                <w:sz w:val="18"/>
                <w:szCs w:val="18"/>
                <w:color w:val="auto"/>
              </w:rPr>
            </w:pPr>
            <w:hyperlink w:anchor="page112">
              <w:r>
                <w:rPr>
                  <w:rFonts w:ascii="Arial" w:cs="Arial" w:eastAsia="Arial" w:hAnsi="Arial"/>
                  <w:sz w:val="18"/>
                  <w:szCs w:val="18"/>
                  <w:color w:val="auto"/>
                </w:rPr>
                <w:t>Certain Relationships and Related Transactions, and Director Independence</w:t>
              </w:r>
            </w:hyperlink>
          </w:p>
        </w:tc>
        <w:tc>
          <w:tcPr>
            <w:tcW w:w="90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106</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14)</w:t>
              </w:r>
            </w:hyperlink>
          </w:p>
        </w:tc>
        <w:tc>
          <w:tcPr>
            <w:tcW w:w="9640" w:type="dxa"/>
            <w:vAlign w:val="bottom"/>
          </w:tcPr>
          <w:p>
            <w:pPr>
              <w:ind w:left="80"/>
              <w:spacing w:after="0"/>
              <w:rPr>
                <w:rFonts w:ascii="Arial" w:cs="Arial" w:eastAsia="Arial" w:hAnsi="Arial"/>
                <w:sz w:val="18"/>
                <w:szCs w:val="18"/>
                <w:color w:val="auto"/>
              </w:rPr>
            </w:pPr>
            <w:hyperlink w:anchor="page112">
              <w:r>
                <w:rPr>
                  <w:rFonts w:ascii="Arial" w:cs="Arial" w:eastAsia="Arial" w:hAnsi="Arial"/>
                  <w:sz w:val="18"/>
                  <w:szCs w:val="18"/>
                  <w:color w:val="auto"/>
                </w:rPr>
                <w:t>Principal Accountant Fees and Services</w:t>
              </w:r>
            </w:hyperlink>
          </w:p>
        </w:tc>
        <w:tc>
          <w:tcPr>
            <w:tcW w:w="90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106</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640" w:type="dxa"/>
            <w:vAlign w:val="bottom"/>
          </w:tcPr>
          <w:p>
            <w:pPr>
              <w:jc w:val="center"/>
              <w:spacing w:after="0"/>
              <w:rPr>
                <w:rFonts w:ascii="Arial" w:cs="Arial" w:eastAsia="Arial" w:hAnsi="Arial"/>
                <w:sz w:val="18"/>
                <w:szCs w:val="18"/>
                <w:b w:val="1"/>
                <w:bCs w:val="1"/>
                <w:color w:val="auto"/>
              </w:rPr>
            </w:pPr>
            <w:hyperlink w:anchor="page112">
              <w:r>
                <w:rPr>
                  <w:rFonts w:ascii="Arial" w:cs="Arial" w:eastAsia="Arial" w:hAnsi="Arial"/>
                  <w:sz w:val="18"/>
                  <w:szCs w:val="18"/>
                  <w:b w:val="1"/>
                  <w:bCs w:val="1"/>
                  <w:color w:val="auto"/>
                </w:rPr>
                <w:t>PART IV</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40" w:type="dxa"/>
            <w:vAlign w:val="bottom"/>
          </w:tcPr>
          <w:p>
            <w:pPr>
              <w:jc w:val="right"/>
              <w:spacing w:after="0"/>
              <w:rPr>
                <w:rFonts w:ascii="Arial" w:cs="Arial" w:eastAsia="Arial" w:hAnsi="Arial"/>
                <w:sz w:val="18"/>
                <w:szCs w:val="18"/>
                <w:color w:val="auto"/>
              </w:rPr>
            </w:pPr>
            <w:hyperlink w:anchor="page113">
              <w:r>
                <w:rPr>
                  <w:rFonts w:ascii="Arial" w:cs="Arial" w:eastAsia="Arial" w:hAnsi="Arial"/>
                  <w:sz w:val="18"/>
                  <w:szCs w:val="18"/>
                  <w:color w:val="auto"/>
                </w:rPr>
                <w:t>15)</w:t>
              </w:r>
            </w:hyperlink>
          </w:p>
        </w:tc>
        <w:tc>
          <w:tcPr>
            <w:tcW w:w="9640" w:type="dxa"/>
            <w:vAlign w:val="bottom"/>
          </w:tcPr>
          <w:p>
            <w:pPr>
              <w:ind w:left="80"/>
              <w:spacing w:after="0"/>
              <w:rPr>
                <w:rFonts w:ascii="Arial" w:cs="Arial" w:eastAsia="Arial" w:hAnsi="Arial"/>
                <w:sz w:val="18"/>
                <w:szCs w:val="18"/>
                <w:color w:val="auto"/>
              </w:rPr>
            </w:pPr>
            <w:hyperlink w:anchor="page113">
              <w:r>
                <w:rPr>
                  <w:rFonts w:ascii="Arial" w:cs="Arial" w:eastAsia="Arial" w:hAnsi="Arial"/>
                  <w:sz w:val="18"/>
                  <w:szCs w:val="18"/>
                  <w:color w:val="auto"/>
                </w:rPr>
                <w:t>Exhibits and Financial Statement Schedules</w:t>
              </w:r>
            </w:hyperlink>
          </w:p>
        </w:tc>
        <w:tc>
          <w:tcPr>
            <w:tcW w:w="900" w:type="dxa"/>
            <w:vAlign w:val="bottom"/>
          </w:tcPr>
          <w:p>
            <w:pPr>
              <w:jc w:val="right"/>
              <w:spacing w:after="0"/>
              <w:rPr>
                <w:rFonts w:ascii="Arial" w:cs="Arial" w:eastAsia="Arial" w:hAnsi="Arial"/>
                <w:sz w:val="18"/>
                <w:szCs w:val="18"/>
                <w:color w:val="auto"/>
              </w:rPr>
            </w:pPr>
            <w:hyperlink w:anchor="page113">
              <w:r>
                <w:rPr>
                  <w:rFonts w:ascii="Arial" w:cs="Arial" w:eastAsia="Arial" w:hAnsi="Arial"/>
                  <w:sz w:val="18"/>
                  <w:szCs w:val="18"/>
                  <w:color w:val="auto"/>
                </w:rPr>
                <w:t>107</w:t>
              </w:r>
            </w:hyperlink>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175"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Industry and market data used throughout this Form 10-K were obtained through internal company research, surveys and studies conducted by unrelated third parties and publicly available industry and general publications, including information from IHS Chemical and Chemical Data, Inc. We have not independently verified market and industry data from external sources. While we believe internal company estimates are reliable and market definitions are appropriate, neither such estimates nor these definitions have been verified by any independent sources.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PRODUCTION CAPACITY</w:t>
      </w:r>
    </w:p>
    <w:p>
      <w:pPr>
        <w:spacing w:after="0" w:line="17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Unless we state otherwise, annual production capacity estimates used throughout this Form 10-K represent rated capacity of the facilities at December 31, 2015. We calculated rated capacity by estimating the number of days in a typical year that a production unit of a plant is expected to operate, after allowing for downtime for regular maintenance, and multiplying that number by an amount equal to the unit's optimal daily output based on the design feedstock mix. Because the rated capacity of a production unit is an estimated amount, actual production volumes may be more or less than the rated capacity.</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body of accounting principles generally accepted in the United States is commonly referred to as "GAAP." For this purpose, a non-GAAP financial measure is generally defined by the Securities and Exchange Commission ("SEC") as one that purports to measure historical or future financial performance, financial position or cash flows, but excludes or includes amounts that would not be so adjusted in the most comparable GAAP measures. In this report, we disclose so-called non-GAAP financial measures, primarily earnings before interest, taxes, depreciation and amortization ("EBITDA"). EBITDA is calculated as net income before interest expense, income taxes, depreciation and amortization. The non-GAAP financial measures described in this Form 10-K are not substitutes for the GAAP measures of earnings and cash flow.</w:t>
      </w:r>
    </w:p>
    <w:p>
      <w:pPr>
        <w:spacing w:after="0" w:line="124"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EBITDA is included in this Form 10-K because our management considers it an important supplemental measure of our performance and believes that it is frequently used by securities analysts, investors and other interested parties in the evaluation of companies in our industry, some of which present EBITDA when reporting their results. We regularly evaluate our performance as compared to other companies in our industry that have different financing and capital structures and/or tax rates by using EBITDA. In addition, we utilize EBITDA in evaluating acquisition targets. Management also believes that EBITDA is a useful tool for measuring our ability to meet our future debt service, capital expenditures and working capital requirements, and EBITDA is commonly used by us and our investors to measure our ability to service indebtedness. EBITDA is not a substitute for the GAAP measures of earnings or of cash flow and is not necessarily a measure of our ability to fund our cash needs.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are a vertically integrated global manufacturer and marketer of basic chemicals, vinyls, polymers and building products. Our products include some of the most widely used chemicals in the world, which are fundamental to many diverse consumer and industrial markets, including flexible and rigid packaging, automotive products, coatings, residential and commercial construction as well as other durable and non-durable goods. We operate in two principal operating segments, Olefins and Vinyls. We are highly integrated along our olefins product chain with significant downstream integration into polyethylene and styrene monomer. We are also an integrated global producer of vinyls with substantial downstream integration into polyvinyl chloride ("PVC") building products.</w:t>
      </w:r>
    </w:p>
    <w:p>
      <w:pPr>
        <w:spacing w:after="0" w:line="13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We began operations in 1986 after our first polyethylene plant, an Olefins segment business, near Lake Charles, Louisiana was acquired from Occidental Petroleum Corporation. We began our vinyls operations in 1990 with the acquisition of a vinyl chloride monomer ("VCM") plant in Calvert City, Kentucky from the Goodrich Corporation. In 1992, we commenced our Vinyls segment building products operations after acquiring three PVC pipe plants. Since 1986, we have grown rapidly into an integrated global producer of petrochemicals, vinyls, polymers and building products. We achieved this by acquiring existing plants or constructing new plants and completing numerous capacity or production line expansions. We regularly consider acquisitions and other internal and external growth opportunities that would be consistent with or complementary to our overall business strategy.</w:t>
      </w:r>
    </w:p>
    <w:p>
      <w:pPr>
        <w:spacing w:after="0" w:line="111"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2014, we formed Westlake Chemical Partners LP ("Westlake Partners") to operate, acquire and develop facilities for the processing of natural gas liquids and related assets. Also in 2014, Westlake Partners completed an initial public offering of 12,937,500 common units (the "Westlake Partners IPO"). As of February 17, 2016, Westlake Partners' assets consist of a 13.3% limited partner interest in Westlake Chemical OpCo LP ("OpCo"), as well as the general partner interest in OpCo. Prior to the Westlake Partners IPO, OpCo's assets were wholly owned by us. OpCo's assets include two natural gas liquids processing facilities at our Lake Charles site, one natural gas liquids processing facility at our Calvert City site and a 200-mile common carrier ethylene pipeline that runs from Mont Belvieu, Texas to the Longview, Texas site, which includes our Longview polyethylene production facility. We retain an 86.7% limited partner interest in OpCo, a 52.2% limited partner interest in Westlake Partners (common and subordinated units), a general partner interest in Westlake Partners and incentive distribution rights. The operations of Westlake Partners are consolidated in our financial statements. We are party to certain agreements with Westlake Partners and OpCo whereby, among other things, OpCo sells us 95% of the ethylene it produces on a cost-plus basis that is expected to generate a fixed margin per pound of $0.10. We use this ethylene in the production processes of both our Olefins and Vinyls segments. For more information, see "—Olefins Business" and "—Vinyls Business" below.</w:t>
      </w:r>
    </w:p>
    <w:p>
      <w:pPr>
        <w:spacing w:after="0" w:line="129"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benefit from highly integrated production facilities that allow us to process raw materials into higher value-added chemicals and building products. As of February 17, 2016, we (directly and through OpCo and our 95% owned Asian joint venture) had 19.7 billion pounds per year of aggregate production capacity at 21 manufacturing sites in North America, Europe and Asia.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Olefins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9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Olefins are the basic building blocks used to create a wide variety of petrochemical products. We manufacture ethylene (through OpCo), polyethylene, styrene and associated co-products at our manufacturing facility in Lake Charles and polyethylene at our Longview facility. We have two ethylene plants, which are owned by OpCo, two polyethylene plants and one styrene monomer plant at our Lake Charles site. We have three polyethylene plants and a specialty polyethylene wax plant at our Longview site.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2" w:right="25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illustrates our production capacities at February 17, 2016 by principal product and the primary end uses of these materials: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Product</w:t>
            </w:r>
          </w:p>
        </w:tc>
        <w:tc>
          <w:tcPr>
            <w:tcW w:w="12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Annual Capacity</w:t>
            </w:r>
          </w:p>
        </w:tc>
        <w:tc>
          <w:tcPr>
            <w:tcW w:w="120" w:type="dxa"/>
            <w:vAlign w:val="bottom"/>
          </w:tcPr>
          <w:p>
            <w:pPr>
              <w:spacing w:after="0"/>
              <w:rPr>
                <w:sz w:val="16"/>
                <w:szCs w:val="16"/>
                <w:color w:val="auto"/>
              </w:rPr>
            </w:pPr>
          </w:p>
        </w:tc>
        <w:tc>
          <w:tcPr>
            <w:tcW w:w="54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End Uses</w:t>
            </w:r>
          </w:p>
        </w:tc>
      </w:tr>
      <w:tr>
        <w:trPr>
          <w:trHeight w:val="264"/>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(Millions of pounds)</w:t>
            </w:r>
          </w:p>
        </w:tc>
        <w:tc>
          <w:tcPr>
            <w:tcW w:w="5460" w:type="dxa"/>
            <w:vAlign w:val="bottom"/>
          </w:tcPr>
          <w:p>
            <w:pPr>
              <w:spacing w:after="0"/>
              <w:rPr>
                <w:sz w:val="22"/>
                <w:szCs w:val="22"/>
                <w:color w:val="auto"/>
              </w:rPr>
            </w:pPr>
          </w:p>
        </w:tc>
      </w:tr>
      <w:tr>
        <w:trPr>
          <w:trHeight w:val="235"/>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Ethylene </w:t>
            </w:r>
            <w:r>
              <w:rPr>
                <w:rFonts w:ascii="Arial" w:cs="Arial" w:eastAsia="Arial" w:hAnsi="Arial"/>
                <w:sz w:val="18"/>
                <w:szCs w:val="18"/>
                <w:color w:val="auto"/>
                <w:vertAlign w:val="superscript"/>
              </w:rPr>
              <w:t>(1)</w:t>
            </w:r>
          </w:p>
        </w:tc>
        <w:tc>
          <w:tcPr>
            <w:tcW w:w="1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2,740</w:t>
            </w:r>
          </w:p>
        </w:tc>
        <w:tc>
          <w:tcPr>
            <w:tcW w:w="120" w:type="dxa"/>
            <w:vAlign w:val="bottom"/>
            <w:shd w:val="clear" w:color="auto" w:fill="CCEEFF"/>
          </w:tcPr>
          <w:p>
            <w:pPr>
              <w:spacing w:after="0"/>
              <w:rPr>
                <w:sz w:val="20"/>
                <w:szCs w:val="20"/>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Polyethylene, ethylene dichloride ("EDC"), styrene,</w:t>
            </w:r>
          </w:p>
        </w:tc>
      </w:tr>
      <w:tr>
        <w:trPr>
          <w:trHeight w:val="237"/>
        </w:trPr>
        <w:tc>
          <w:tcPr>
            <w:tcW w:w="4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ethylene oxide/ethylene glycol</w:t>
            </w: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Low-Density Polyethylene ("LDPE")</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High clarity packaging, shrink films, laundry and dry</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cleaning bags, ice bags, frozen foods packaging, bakery</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bags, coated paper board, cup stock, paper folding</w:t>
            </w:r>
          </w:p>
        </w:tc>
      </w:t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cartons, lids, closures and general purpose molding</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r>
      <w:tr>
        <w:trPr>
          <w:trHeight w:val="22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Linear Low-Density Polyethylene</w:t>
            </w:r>
          </w:p>
        </w:tc>
        <w:tc>
          <w:tcPr>
            <w:tcW w:w="1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EEFF"/>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Heavy-duty films and bags, general purpose liners</w:t>
            </w:r>
          </w:p>
        </w:tc>
      </w:tr>
      <w:tr>
        <w:trPr>
          <w:trHeight w:val="237"/>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("LLDPE")</w:t>
            </w:r>
          </w:p>
        </w:tc>
        <w:tc>
          <w:tcPr>
            <w:tcW w:w="1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60" w:type="dxa"/>
            <w:vAlign w:val="bottom"/>
            <w:tcBorders>
              <w:bottom w:val="single" w:sz="8" w:color="CCEEFF"/>
            </w:tcBorders>
            <w:shd w:val="clear" w:color="auto" w:fill="CCEEFF"/>
          </w:tcPr>
          <w:p>
            <w:pPr>
              <w:spacing w:after="0"/>
              <w:rPr>
                <w:sz w:val="20"/>
                <w:szCs w:val="20"/>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Styrene</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Consumer disposables, packaging material, appliances,</w:t>
            </w:r>
          </w:p>
        </w:tc>
      </w:t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paints and coatings, resins and building materials</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 capacity owned by OpCo.</w:t>
      </w:r>
    </w:p>
    <w:p>
      <w:pPr>
        <w:spacing w:after="0" w:line="171"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i w:val="1"/>
          <w:iCs w:val="1"/>
          <w:color w:val="auto"/>
        </w:rPr>
        <w:t xml:space="preserve">Ethylene. </w:t>
      </w:r>
      <w:r>
        <w:rPr>
          <w:rFonts w:ascii="Arial" w:cs="Arial" w:eastAsia="Arial" w:hAnsi="Arial"/>
          <w:sz w:val="17"/>
          <w:szCs w:val="17"/>
          <w:color w:val="auto"/>
        </w:rPr>
        <w:t>Ethylene is the world's most widely used petrochemical in terms of volume. It is the key building block used to produce a large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higher value-added chemicals including polyethylene, EDC, VCM and styrene. OpCo has the capacity to produce 2.7 billion pounds of ethylene per year at our Lake Charles site, and we have the capability to consume all of OpCo's production that we purchase at Lake Charles to produce polyethylene and styrene monomer in our Olefins business and to produce VCM and EDC in our Vinyls business. OpCo also produces ethylene for our Vinyls segment at our Calvert City site, and substantially all of the ethylene we purchase from OpCo at Calvert City is used internally in the production of VCM. For OpCo's annual ethylene production that is purchased by us for our Vinyls business, see "Business—Vinyls Business." In addition, we (through OpCo) produce ethylene co-products including chemical grade propylene, crude butadiene, pyrolysis gasoline and hydrogen. We (through OpCo) sell our entire output of these co-products to external customers. OpCo currently plans to begin the upgrade and capacity expansion of its Petro 1 ethylene unit at our Lake Charles site in the second quarter of 2016.</w:t>
      </w:r>
    </w:p>
    <w:p>
      <w:pPr>
        <w:spacing w:after="0" w:line="12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 xml:space="preserve">Polyethylene. </w:t>
      </w:r>
      <w:r>
        <w:rPr>
          <w:rFonts w:ascii="Arial" w:cs="Arial" w:eastAsia="Arial" w:hAnsi="Arial"/>
          <w:sz w:val="18"/>
          <w:szCs w:val="18"/>
          <w:color w:val="auto"/>
        </w:rPr>
        <w:t>Polyethylene, the world's most widely consumed polymer, is used in the manufacture of a wide variety of film, coatings and molded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applications primarily used in packaging. Polyethylene is generally classified as either LDPE, LLDPE or high-density polyethylene ("HDPE"). The density correlates to the relative stiffness of the end-use products. The difference between LDPE and LLDPE is molecular, and products produced from LLDPE, in general, have higher strength properties than products produced from LDPE. LDPE exhibits better clarity and other physical properties and is used in end products such as bread bags, dry cleaning bags, food wraps, milk carton coatings and snack food packaging. LLDPE is used for higher film strength applications such as stretch film and heavy duty sacks. HDPE is used to manufacture products such as grocery, merchandise and trash bags, rigid plastic containers, plastic closures and pipe.</w:t>
      </w:r>
    </w:p>
    <w:p>
      <w:pPr>
        <w:spacing w:after="0" w:line="135"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We are the leading producer of LDPE by capacity in North America and predominantly use the autoclave technology (versus tubular technology), which is capable of producing higher margin specialty polyethylene products. In 2015, our annual capacity of 1.5 billion pounds was available in numerous formulations to meet the needs of our diverse customer base. We also have the capacity to produce 1.1 billion pounds of LLDPE per year in various formulations. We produce LDPE and LLDPE at both Lake Charles and Longview. Our Lake Charles and Longview facilities also have the capability to produce HDPE. We sell polyethylene to external customers as a final product in pellet form.</w:t>
      </w:r>
    </w:p>
    <w:p>
      <w:pPr>
        <w:spacing w:after="0" w:line="11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 xml:space="preserve">Styrene. </w:t>
      </w:r>
      <w:r>
        <w:rPr>
          <w:rFonts w:ascii="Arial" w:cs="Arial" w:eastAsia="Arial" w:hAnsi="Arial"/>
          <w:sz w:val="18"/>
          <w:szCs w:val="18"/>
          <w:color w:val="auto"/>
        </w:rPr>
        <w:t>Styrene is used to produce derivatives such as polystyrene, acrylonitrile butadiene styrene, unsaturated polyester and synthetic rubber. These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are used in a number of applications including consumer disposables, food packaging, housewares, paints and coatings, building materials, tires and toys. We produce styrene at our Lake Charles plant, where we have the capacity to produce 570 million pounds of styrene per year, all of which is sold to external customers.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Feedstocks</w:t>
      </w:r>
    </w:p>
    <w:p>
      <w:pPr>
        <w:spacing w:after="0" w:line="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are highly integrated along our olefins product chain. We (through OpCo) produce most of the ethylene required to produce our polyethylene, VCM and styrene. Ethylene can be produced from either petroleum liquid feedstocks, such as naphtha, condensates and gas oils, or from natural gas liquid feedstocks, such as ethane, propane and butane. Both of OpCo's Lake Charles ethylene plants use ethane as the primary feedstock. Pursuant to a feedstock supply agreement between us and OpCo, OpCo receives ethane feedstock at our Lake Charles site through several pipelines from a variety of suppliers in Texas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and Louisiana. We own a 50% interest in a 104-mile natural gas liquids pipeline from Mont Belvieu to our Lake Charles site. OpCo owns a 200-mile ethylene pipeline that runs from Mont Belvieu to our Longview site.</w:t>
      </w:r>
    </w:p>
    <w:p>
      <w:pPr>
        <w:spacing w:after="0" w:line="116"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In addition to ethylene supplied by OpCo, we also acquire ethylene from third parties in order to supply a portion of our ethylene requirements. We acquire butene and hexene to manufacture polyethylene and benzene to manufacture styrene. We receive butene and hexene at the Lake Charles site and hexene at the Longview site via rail car from several suppliers. We receive benzene via barges, ships and pipeline pursuant to short-term arrangements. We purchase butene and hexene pursuant to multi-year contracts, some of which are renewable for an additional term subject to either party to the contract notifying the other party that it does not wish to renew the contract. We purchase electricity for our Lake Charles facility under long-term industrial contracts.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Sales and Distribution</w:t>
      </w:r>
    </w:p>
    <w:p>
      <w:pPr>
        <w:spacing w:after="0" w:line="9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have an internal sales force that sells our products directly to our customers. Our polyethylene customers are some of the nation's largest producers of film and flexible packaging.</w:t>
      </w:r>
    </w:p>
    <w:p>
      <w:pPr>
        <w:spacing w:after="0" w:line="116"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and OpCo sell ethylene and ethylene co-products to external customers. OpCo's primary ethylene co-products are chemical grade propylene, crude butadiene, pyrolysis gasoline and hydrogen. Our and OpCo's sales are made under spot and long-term agreements.</w:t>
      </w:r>
    </w:p>
    <w:p>
      <w:pPr>
        <w:spacing w:after="0" w:line="116"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We have storage agreements and exchange agreements that allow us and OpCo access to customers who are not directly connected to the pipeline system that we own. OpCo ships crude butadiene and pyrolysis gasoline by rail or truck. Additionally, we transport our polyethylene and styrene by rail or truck. Further, styrene can be transported by barge or ship.</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single customer accounted for 10% or more of net sales for the Olefins segment in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markets in which our Olefins business operates are highly competitive. We compete on the basis of customer service, product deliverability, quality, consistency, performance and price. Our competitors in the ethylene, polyethylene and styrene markets are some of the world's largest chemical companies, including Chevron Phillips Chemical Company, The Dow Chemical Company, ExxonMobil Chemical Company, INEOS Group Limited, LyondellBasell Industries, N.V. and NOVA Chemicals Corporation.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Vinyls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90"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Principal products in our integrated Vinyls segment include PVC, VCM, EDC, chlorine, caustic soda and, through OpCo, ethylene. We also manufacture and sell building products fabricated from PVC, including pipe, fittings, profiles, foundation building products, fence and deck components, window and door components and film and sheet products. We manage our integrated Vinyls production chain, from the basic chemicals to finished building products, to optimize product margins and capacity utilization. Our primary North American chemical manufacturing facilities are located in our Calvert City and Geismar, Louisiana sites. Our Calvert City site includes an ethylene plant, which is owned by OpCo, a chlor-alkali plant, a VCM plant and a PVC plant. Our Geismar site includes a chlor-alkali plant, an EDC plant, a VCM plant and a PVC plant. Our European chemical manufacturing facilities are located in Germany and the United Kingdom and include two chlor-alkali plants, two VCM plants and six PVC plants. Our Asian manufacturing facility (through our 95% owned Asian joint venture) is located near Shanghai, in the People's Republic of China and includes a PVC plant and a PVC film and sheet plant. As of February 17, 2016, we owned 11 building product facilities.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illustrates our production capacities at February 17, 2016 by principal product and the end uses of these products: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xml:space="preserve">Product </w:t>
            </w:r>
            <w:r>
              <w:rPr>
                <w:rFonts w:ascii="Arial" w:cs="Arial" w:eastAsia="Arial" w:hAnsi="Arial"/>
                <w:sz w:val="8"/>
                <w:szCs w:val="8"/>
                <w:b w:val="1"/>
                <w:bCs w:val="1"/>
                <w:color w:val="auto"/>
              </w:rPr>
              <w:t>(1)</w:t>
            </w:r>
          </w:p>
        </w:tc>
        <w:tc>
          <w:tcPr>
            <w:tcW w:w="12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Annual Capacity </w:t>
            </w:r>
            <w:r>
              <w:rPr>
                <w:rFonts w:ascii="Arial" w:cs="Arial" w:eastAsia="Arial" w:hAnsi="Arial"/>
                <w:sz w:val="8"/>
                <w:szCs w:val="8"/>
                <w:b w:val="1"/>
                <w:bCs w:val="1"/>
                <w:color w:val="auto"/>
                <w:w w:val="95"/>
              </w:rPr>
              <w:t>(2)</w:t>
            </w:r>
          </w:p>
        </w:tc>
        <w:tc>
          <w:tcPr>
            <w:tcW w:w="120" w:type="dxa"/>
            <w:vAlign w:val="bottom"/>
          </w:tcPr>
          <w:p>
            <w:pPr>
              <w:spacing w:after="0"/>
              <w:rPr>
                <w:sz w:val="16"/>
                <w:szCs w:val="16"/>
                <w:color w:val="auto"/>
              </w:rPr>
            </w:pPr>
          </w:p>
        </w:tc>
        <w:tc>
          <w:tcPr>
            <w:tcW w:w="54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End Uses</w:t>
            </w:r>
          </w:p>
        </w:tc>
      </w:tr>
      <w:tr>
        <w:trPr>
          <w:trHeight w:val="264"/>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(Millions of pounds)</w:t>
            </w:r>
          </w:p>
        </w:tc>
        <w:tc>
          <w:tcPr>
            <w:tcW w:w="5460" w:type="dxa"/>
            <w:vAlign w:val="bottom"/>
          </w:tcPr>
          <w:p>
            <w:pPr>
              <w:spacing w:after="0"/>
              <w:rPr>
                <w:sz w:val="22"/>
                <w:szCs w:val="22"/>
                <w:color w:val="auto"/>
              </w:rPr>
            </w:pPr>
          </w:p>
        </w:tc>
      </w:tr>
      <w:tr>
        <w:trPr>
          <w:trHeight w:val="235"/>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Specialty PVC</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20"/>
                <w:szCs w:val="20"/>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sealants, cable sheathing, medical</w:t>
            </w:r>
          </w:p>
        </w:tc>
      </w:tr>
      <w:tr>
        <w:trPr>
          <w:trHeight w:val="237"/>
        </w:trPr>
        <w:tc>
          <w:tcPr>
            <w:tcW w:w="4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applications and other consumer applications</w:t>
            </w: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Commodity PVC</w:t>
            </w: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2,820</w:t>
            </w:r>
          </w:p>
        </w:tc>
        <w:tc>
          <w:tcPr>
            <w:tcW w:w="1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Construction materials including pipe, siding, profiles for</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windows and doors, film and sheet for packaging</w:t>
            </w:r>
          </w:p>
        </w:tc>
      </w:t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and other consumer applications</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VCM</w:t>
            </w: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3,320</w:t>
            </w:r>
          </w:p>
        </w:tc>
        <w:tc>
          <w:tcPr>
            <w:tcW w:w="1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PVC</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Chlorine</w:t>
            </w: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2,200</w:t>
            </w:r>
          </w:p>
        </w:tc>
        <w:tc>
          <w:tcPr>
            <w:tcW w:w="12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VCM, organic/inorganic chemicals, bleach</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r>
      <w:tr>
        <w:trPr>
          <w:trHeight w:val="22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Caustic Soda</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2,420</w:t>
            </w:r>
          </w:p>
        </w:tc>
        <w:tc>
          <w:tcPr>
            <w:tcW w:w="120" w:type="dxa"/>
            <w:vAlign w:val="bottom"/>
            <w:shd w:val="clear" w:color="auto" w:fill="CCEEFF"/>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Pulp and paper, organic/inorganic chemicals,</w:t>
            </w:r>
          </w:p>
        </w:tc>
      </w:tr>
      <w:tr>
        <w:trPr>
          <w:trHeight w:val="237"/>
        </w:trPr>
        <w:tc>
          <w:tcPr>
            <w:tcW w:w="4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neutralization, alumina</w:t>
            </w:r>
          </w:p>
        </w:tc>
      </w:tr>
      <w:tr>
        <w:trPr>
          <w:trHeight w:val="254"/>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 xml:space="preserve">Ethylene </w:t>
            </w:r>
            <w:r>
              <w:rPr>
                <w:rFonts w:ascii="Arial" w:cs="Arial" w:eastAsia="Arial" w:hAnsi="Arial"/>
                <w:sz w:val="18"/>
                <w:szCs w:val="18"/>
                <w:color w:val="auto"/>
                <w:vertAlign w:val="superscript"/>
              </w:rPr>
              <w:t>(3)</w:t>
            </w: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2"/>
                <w:szCs w:val="22"/>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VCM</w:t>
            </w:r>
          </w:p>
        </w:tc>
      </w:tr>
      <w:tr>
        <w:trPr>
          <w:trHeight w:val="245"/>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Building Products</w:t>
            </w: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Pipe: water and sewer, plumbing, irrigation, conduit;</w:t>
            </w:r>
          </w:p>
        </w:tc>
      </w:t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fittings; profiles and foundation building products;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582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ind w:left="6120"/>
        <w:spacing w:after="0"/>
        <w:rPr>
          <w:sz w:val="20"/>
          <w:szCs w:val="20"/>
          <w:color w:val="auto"/>
        </w:rPr>
      </w:pPr>
      <w:r>
        <w:rPr>
          <w:rFonts w:ascii="Arial" w:cs="Arial" w:eastAsia="Arial" w:hAnsi="Arial"/>
          <w:sz w:val="18"/>
          <w:szCs w:val="18"/>
          <w:color w:val="auto"/>
        </w:rPr>
        <w:t>window and door components; fence and deck</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components; film and sheet</w:t>
      </w:r>
    </w:p>
    <w:p>
      <w:pPr>
        <w:spacing w:after="0" w:line="14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60" w:hanging="43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EDC, a VCM intermediate product, is not included in the table.</w:t>
      </w:r>
    </w:p>
    <w:p>
      <w:pPr>
        <w:spacing w:after="0" w:line="63" w:lineRule="exact"/>
        <w:rPr>
          <w:rFonts w:ascii="Arial" w:cs="Arial" w:eastAsia="Arial" w:hAnsi="Arial"/>
          <w:sz w:val="18"/>
          <w:szCs w:val="18"/>
          <w:color w:val="auto"/>
        </w:rPr>
      </w:pPr>
    </w:p>
    <w:p>
      <w:pPr>
        <w:ind w:left="460" w:hanging="43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capacity related to our 95% owned Asian joint venture.</w:t>
      </w:r>
    </w:p>
    <w:p>
      <w:pPr>
        <w:spacing w:after="0" w:line="63" w:lineRule="exact"/>
        <w:rPr>
          <w:rFonts w:ascii="Arial" w:cs="Arial" w:eastAsia="Arial" w:hAnsi="Arial"/>
          <w:sz w:val="18"/>
          <w:szCs w:val="18"/>
          <w:color w:val="auto"/>
        </w:rPr>
      </w:pPr>
    </w:p>
    <w:p>
      <w:pPr>
        <w:ind w:left="460" w:hanging="43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Production capacity owned by OpCo.</w:t>
      </w:r>
    </w:p>
    <w:p>
      <w:pPr>
        <w:spacing w:after="0" w:line="171" w:lineRule="exact"/>
        <w:rPr>
          <w:sz w:val="20"/>
          <w:szCs w:val="20"/>
          <w:color w:val="auto"/>
        </w:rPr>
      </w:pPr>
    </w:p>
    <w:p>
      <w:pPr>
        <w:ind w:right="100" w:firstLine="432"/>
        <w:spacing w:after="0" w:line="269" w:lineRule="auto"/>
        <w:rPr>
          <w:sz w:val="20"/>
          <w:szCs w:val="20"/>
          <w:color w:val="auto"/>
        </w:rPr>
      </w:pPr>
      <w:r>
        <w:rPr>
          <w:rFonts w:ascii="Arial" w:cs="Arial" w:eastAsia="Arial" w:hAnsi="Arial"/>
          <w:sz w:val="17"/>
          <w:szCs w:val="17"/>
          <w:i w:val="1"/>
          <w:iCs w:val="1"/>
          <w:color w:val="auto"/>
        </w:rPr>
        <w:t xml:space="preserve">PVC. </w:t>
      </w:r>
      <w:r>
        <w:rPr>
          <w:rFonts w:ascii="Arial" w:cs="Arial" w:eastAsia="Arial" w:hAnsi="Arial"/>
          <w:sz w:val="17"/>
          <w:szCs w:val="17"/>
          <w:color w:val="auto"/>
        </w:rPr>
        <w:t>PVC, the world's third most widely used plastic, is an attractive alternative to traditional materials such as glass, metal, wood, concrete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plastic materials because of its versatility, durability and cost-competitiveness. PVC is produced from VCM, which is, in turn, made from chlorine and ethylene. PVC compounds are made by combining PVC resin with various additives in order to make either rigid and impact-resistant or soft and flexible compounds. The various compounds are then fabricated into end-products through extrusion, calendering, injection-molding or blow-molding. Flexible PVC compounds are used for wire and cable insulation, medical films and packaging, flooring, wall coverings, automotive interior and exterior trims and packaging. Rigid extrusion PVC compounds are commonly used in window frames, vertical blinds and construction products, including pipe and siding. Injection-molding PVC compounds are used in specialty products such as computer housings and keyboards, appliance parts and bottles. We have the capacity to produce 1.3 billion pounds and 600 million pounds of commodity PVC per year at our Calvert City facility and Geismar facility, respectively. In addition, we have the capacity to produce 1.1 billion pounds of specialty PVC per year at our European facilities and 620 million pounds and 300 million pounds of commodity PVC per year at our European and Asian facilities, respectively. We have the capacity to use a majority of our North American-produced PVC internally in the production of our building products. The remainder of our PVC, including the PVC produced at our European and Asian facilities, is sold to downstream fabricators and the international markets.</w:t>
      </w:r>
    </w:p>
    <w:p>
      <w:pPr>
        <w:spacing w:after="0" w:line="12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i w:val="1"/>
          <w:iCs w:val="1"/>
          <w:color w:val="auto"/>
        </w:rPr>
        <w:t xml:space="preserve">VCM. </w:t>
      </w:r>
      <w:r>
        <w:rPr>
          <w:rFonts w:ascii="Arial" w:cs="Arial" w:eastAsia="Arial" w:hAnsi="Arial"/>
          <w:sz w:val="18"/>
          <w:szCs w:val="18"/>
          <w:color w:val="auto"/>
        </w:rPr>
        <w:t>VCM is used to produce PVC, solvents and PVC-related products. We use ethylene and chlorine to produce VCM. We have the capacity to</w:t>
      </w:r>
      <w:r>
        <w:rPr>
          <w:rFonts w:ascii="Arial" w:cs="Arial" w:eastAsia="Arial" w:hAnsi="Arial"/>
          <w:sz w:val="18"/>
          <w:szCs w:val="18"/>
          <w:i w:val="1"/>
          <w:iCs w:val="1"/>
          <w:color w:val="auto"/>
        </w:rPr>
        <w:t xml:space="preserve"> </w:t>
      </w:r>
      <w:r>
        <w:rPr>
          <w:rFonts w:ascii="Arial" w:cs="Arial" w:eastAsia="Arial" w:hAnsi="Arial"/>
          <w:sz w:val="18"/>
          <w:szCs w:val="18"/>
          <w:color w:val="auto"/>
        </w:rPr>
        <w:t>produce 1.3 billion pounds of VCM per year at our Calvert City facility, 550 million pounds per year at our Geismar facility and 1.5 billion pounds per year at our European facilities. Substantially all of our VCM is used internally in our PVC operations.</w:t>
      </w:r>
    </w:p>
    <w:p>
      <w:pPr>
        <w:spacing w:after="0" w:line="12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 xml:space="preserve">Chlorine and Caustic Soda. </w:t>
      </w:r>
      <w:r>
        <w:rPr>
          <w:rFonts w:ascii="Arial" w:cs="Arial" w:eastAsia="Arial" w:hAnsi="Arial"/>
          <w:sz w:val="18"/>
          <w:szCs w:val="18"/>
          <w:color w:val="auto"/>
        </w:rPr>
        <w:t>We combine salt and electricity to produce chlorine and caustic soda, commonly referred to as chlor-alkali, at our Calvert</w:t>
      </w:r>
      <w:r>
        <w:rPr>
          <w:rFonts w:ascii="Arial" w:cs="Arial" w:eastAsia="Arial" w:hAnsi="Arial"/>
          <w:sz w:val="18"/>
          <w:szCs w:val="18"/>
          <w:i w:val="1"/>
          <w:iCs w:val="1"/>
          <w:color w:val="auto"/>
        </w:rPr>
        <w:t xml:space="preserve"> </w:t>
      </w:r>
      <w:r>
        <w:rPr>
          <w:rFonts w:ascii="Arial" w:cs="Arial" w:eastAsia="Arial" w:hAnsi="Arial"/>
          <w:sz w:val="18"/>
          <w:szCs w:val="18"/>
          <w:color w:val="auto"/>
        </w:rPr>
        <w:t>City, Geismar, Gendorf, Germany and Knapsack, Germany facilities. We use our chlorine production in our VCM and EDC plants. We currently have the capacity to supply all of our chlorine requirements internally. Our caustic soda is sold to external customers who use it for, among other things, the production of pulp and paper, organic and inorganic chemicals and alumina.</w:t>
      </w:r>
    </w:p>
    <w:p>
      <w:pPr>
        <w:spacing w:after="0" w:line="133"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i w:val="1"/>
          <w:iCs w:val="1"/>
          <w:color w:val="auto"/>
        </w:rPr>
        <w:t xml:space="preserve">Ethylene. </w:t>
      </w:r>
      <w:r>
        <w:rPr>
          <w:rFonts w:ascii="Arial" w:cs="Arial" w:eastAsia="Arial" w:hAnsi="Arial"/>
          <w:sz w:val="17"/>
          <w:szCs w:val="17"/>
          <w:color w:val="auto"/>
        </w:rPr>
        <w:t>We use the ethylene we purchase that is produced by OpCo at Calvert City to produce VCM. OpCo's Calvert City ethylene plant has the</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to produce approximately 40% of the ethylene required for our total VCM production. We obtain the remainder of the ethylene we need for our Vinyls business from OpCo's Lake Charles plant and from third party purchases. OpCo's Calvert City ethylene plant utilizes ethane feedstock and enables us, through OpCo, to enhance our vinyl chain integration. In January 2016, OpCo announced an expansion project to increase the ethylene capacity of its ethylene plant at our Calvert City facility. The expansion is expected to increase ethylene capacity by approximately 70 million pounds annually and is targeted for completion during the first half of 2017. Combined with other incremental capacity increases,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total ethylene capacity of OpCo's ethylene plant at our Calvert City facility is expected to increase to 730 million pounds annually at the completion of this project.</w:t>
      </w:r>
    </w:p>
    <w:p>
      <w:pPr>
        <w:spacing w:after="0" w:line="11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Building Products. </w:t>
      </w:r>
      <w:r>
        <w:rPr>
          <w:rFonts w:ascii="Arial" w:cs="Arial" w:eastAsia="Arial" w:hAnsi="Arial"/>
          <w:sz w:val="18"/>
          <w:szCs w:val="18"/>
          <w:color w:val="auto"/>
        </w:rPr>
        <w:t>Products made from PVC are used in construction materials ranging from water and sewer systems to home and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for fence, deck, window and door systems. We manufacture and market water, sewer, irrigation and conduit pipe products under the "North American Pipe" brand and specialty pipe, fittings, profiles and foundation building products under the "North American Specialty Products" brand. We also manufacture and market PVC fence, decking, windows and door profiles under the "Westech Building Products" brand. We manufacture film and sheet at our Asian facility for both Asian and global markets. All of our building products are sold to external customers. Predominantly all of the PVC we require for our building products is produced internally. We purchase the remainder of our PVC requirements at market prices. The combined capacity of our 11 building products plants is 1.3 billion pounds per year.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Feedstocks</w:t>
      </w:r>
    </w:p>
    <w:p>
      <w:pPr>
        <w:spacing w:after="0" w:line="9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are highly integrated along our vinyls production chain. We produce most of the North American ethylene required by our Calvert City and Geismar facilities (through OpCo), and most of the VCM and all of the chlorine used in our Vinyls business. Ethylene produced at OpCo's Calvert City facility utilizes ethane feedstock. We purchase the ethylene required for our European facilities from a number of sources under various contracts. We have access to, and partially own, an ethylene pipeline in Germany. We purchase the salt required for our chlor-alkali plants pursuant to long-term contracts. We purchase electricity for our North American and European facilities under long-term industrial contracts. We purchase VCM for our Asian PVC plant on a spot basis.</w:t>
      </w:r>
    </w:p>
    <w:p>
      <w:pPr>
        <w:spacing w:after="0" w:line="10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Our Calvert City, Geismar and Asian facilities supply predominantly all of the PVC required for our building products plants. We may also purchase PVC at market prices, if needed. The remaining feedstocks for building products include pigments, fillers and stabilizers, which we purchase under short-term contracts based on prevailing market prices.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Sales and Distribution</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the capacity to use primarily all of our chlorine internally to produce VCM and EDC, most of which, in turn, is used to produce PVC. We sell substantially all of our caustic soda production to external customers. We have the capacity to use a majority of our North American-produced PVC internally in the production of our building products. The remainder of our PVC, including the PVC produced at our European and Asian facilities, is sold to downstream fabricators and the international markets.</w:t>
      </w:r>
    </w:p>
    <w:p>
      <w:pPr>
        <w:spacing w:after="0" w:line="133"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are the second largest manufacturer of PVC pipe by capacity in the United States. We sell a majority of our PVC pipe, fence, window, door profiles and film and sheet products through a combination of manufacturer's representatives and our internal sales force.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single customer accounted for 10% or more of net sales for the Vinyls segment in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The markets in which our Vinyls business operates are highly competitive. Competition in the vinyls market is based on product availability, product performance, customer service and price. We compete in the vinyls market with other producers including Formosa Plastics Corporation, Axiall Corporation, Oxy Chem, LP, Shintech, Inc., Mexichem, S.A.B. de C.V., INOVYN ChlorVinyls Limited, VYNOVA Group and Kem One Group SAS.</w:t>
      </w:r>
    </w:p>
    <w:p>
      <w:pPr>
        <w:spacing w:after="0" w:line="11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Competition in the building products market is based on on-time delivery, product quality, customer service, product consistency and price. We compete in the building products market with other producers and fabricators including Diamond Plastics Corporation and JM Eagle.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w:t>
      </w:r>
    </w:p>
    <w:p>
      <w:pPr>
        <w:spacing w:after="0" w:line="9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As is common in our industry, obtaining, producing and distributing many of our products involves the use, storage, transportation and disposal of large quantities of toxic and hazardous materials, and our manufacturing operations require the generation and disposal of large quantities of hazardous wastes. We are subject to extensive, evolving and increasingly stringent international, national, state and local environmental laws, regulations and directives, which address, among other things, the following:</w:t>
      </w:r>
    </w:p>
    <w:p>
      <w:pPr>
        <w:spacing w:after="0" w:line="52" w:lineRule="exact"/>
        <w:rPr>
          <w:sz w:val="20"/>
          <w:szCs w:val="20"/>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emissions to the air;</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discharges to land or to surface and subsurface waters;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releases into the environment;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880" w:hanging="359"/>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remediation of contaminated sites;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generation, handling, storage, transportation, treatment and disposal of waste materials;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maintenance of safe conditions in the workplace.</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are subject to environmental laws and regulations that can impose civil and criminal sanctions and that may require us to mitigate the effects of contamination caused by the release or disposal of hazardous substances into the environment. Under one law, the U.S. Comprehensive Environmental Response, Compensation, and Liability Act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several of our production sites have a history of industrial use, it is impossible to predict precisely what effect these legal requirements will have on us.</w:t>
      </w:r>
    </w:p>
    <w:p>
      <w:pPr>
        <w:spacing w:after="0" w:line="13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i w:val="1"/>
          <w:iCs w:val="1"/>
          <w:color w:val="auto"/>
        </w:rPr>
        <w:t>The Federal Clean Air Act</w:t>
      </w:r>
      <w:r>
        <w:rPr>
          <w:rFonts w:ascii="Arial" w:cs="Arial" w:eastAsia="Arial" w:hAnsi="Arial"/>
          <w:sz w:val="18"/>
          <w:szCs w:val="18"/>
          <w:color w:val="auto"/>
        </w:rPr>
        <w:t>. The Clean Air Act ("CAA") and its implementing regulations, as well as the corresponding state laws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impose permitting requirements and emission control requirements relating to specific air pollutants, as well as the requirement for certain facilities to maintain a risk management program to help prevent accidental releases of certain substances. Air quality standards promulgated pursuant to the CAA may require the installation of new or additional emission control equipment or changes in facility operations. If new controls or changes to operations are needed, the costs could be significant. In addition, failure to comply with the requirements of the CAA, its implementing regulations, and permits issued under the CAA, could result in fines, penalties or other sanctions.</w:t>
      </w:r>
    </w:p>
    <w:p>
      <w:pPr>
        <w:spacing w:after="0" w:line="13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Release Reporting</w:t>
      </w:r>
      <w:r>
        <w:rPr>
          <w:rFonts w:ascii="Arial" w:cs="Arial" w:eastAsia="Arial" w:hAnsi="Arial"/>
          <w:sz w:val="18"/>
          <w:szCs w:val="18"/>
          <w:color w:val="auto"/>
        </w:rPr>
        <w:t>. The release of hazardous substances or extremely hazardous substances into the environment is subject to release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under federal and state environmental laws, including the Emergency Planning and Community Right-to-Know Act. If we fail to properly report a release, or if the release violates the law or our permits, it could cause us to become the subject of a governmental enforcement action or third-party claims, which could result in significant liability.</w:t>
      </w:r>
    </w:p>
    <w:p>
      <w:pPr>
        <w:spacing w:after="0" w:line="13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Clean Water Act</w:t>
      </w:r>
      <w:r>
        <w:rPr>
          <w:rFonts w:ascii="Arial" w:cs="Arial" w:eastAsia="Arial" w:hAnsi="Arial"/>
          <w:sz w:val="18"/>
          <w:szCs w:val="18"/>
          <w:color w:val="auto"/>
        </w:rPr>
        <w:t>. The Clean Water Act ("CWA") and analogous state laws impose restrictions and strict controls with respect to the discharge of</w:t>
      </w:r>
      <w:r>
        <w:rPr>
          <w:rFonts w:ascii="Arial" w:cs="Arial" w:eastAsia="Arial" w:hAnsi="Arial"/>
          <w:sz w:val="18"/>
          <w:szCs w:val="18"/>
          <w:i w:val="1"/>
          <w:iCs w:val="1"/>
          <w:color w:val="auto"/>
        </w:rPr>
        <w:t xml:space="preserve"> </w:t>
      </w:r>
      <w:r>
        <w:rPr>
          <w:rFonts w:ascii="Arial" w:cs="Arial" w:eastAsia="Arial" w:hAnsi="Arial"/>
          <w:sz w:val="18"/>
          <w:szCs w:val="18"/>
          <w:color w:val="auto"/>
        </w:rPr>
        <w:t>pollutants, including spills and leaks of oil and other substances, into waters of the U.S. Federal and state regulatory agencies can impose administrative, civil and criminal penalties for non-compliance with discharge permits or noncompliance with other requirements of the CWA and analogous state laws and regulations.</w:t>
      </w:r>
    </w:p>
    <w:p>
      <w:pPr>
        <w:spacing w:after="0" w:line="13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i w:val="1"/>
          <w:iCs w:val="1"/>
          <w:color w:val="auto"/>
        </w:rPr>
        <w:t>Waste Management</w:t>
      </w:r>
      <w:r>
        <w:rPr>
          <w:rFonts w:ascii="Arial" w:cs="Arial" w:eastAsia="Arial" w:hAnsi="Arial"/>
          <w:sz w:val="18"/>
          <w:szCs w:val="18"/>
          <w:color w:val="auto"/>
        </w:rPr>
        <w:t>. The Resource Conservation and Recovery Act ("RCRA") and analogous state laws establish stringent requirements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generation, handling, storage, transportation, and disposal of hazardous wastes. At facilities where hazardous wastes have been spilled, released into the environment, or disposed, these laws may require costly investigations, studies, and response actions, possibly including removal and re-disposal of any such wastes. RCRA also establishes extensive recordkeeping, reporting and permitting requirements. We generate large quantities of hazardous wastes in connection with our operations, and could incur significant liabilities under RCRA and similar laws for any mismanagement or other improper or unauthorized handling of such wastes.</w:t>
      </w:r>
    </w:p>
    <w:p>
      <w:pPr>
        <w:spacing w:after="0" w:line="139"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i w:val="1"/>
          <w:iCs w:val="1"/>
          <w:color w:val="auto"/>
        </w:rPr>
        <w:t>European Regulations</w:t>
      </w:r>
      <w:r>
        <w:rPr>
          <w:rFonts w:ascii="Arial" w:cs="Arial" w:eastAsia="Arial" w:hAnsi="Arial"/>
          <w:sz w:val="18"/>
          <w:szCs w:val="18"/>
          <w:color w:val="auto"/>
        </w:rPr>
        <w:t>. Under the Industrial Emission Directive ("IED"), European Union member state governments are expected to adopt rules and</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 environmental permitting programs relating to air, water and waste for industrial facilities. In this context, concepts such as BAT ("best available technique") are being explored. Future implementation of these concepts may result in technical modifications to our European facilities. In addition, under the Environmental Liability Directive, European Union member states can require the remediation of soil and groundwater contamination in certain circumstances, under the "polluter pays principle." We are unable to predict the impact these requirements and concepts may have on our future costs of compliance.</w:t>
      </w:r>
    </w:p>
    <w:p>
      <w:pPr>
        <w:spacing w:after="0" w:line="139"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i w:val="1"/>
          <w:iCs w:val="1"/>
          <w:color w:val="auto"/>
        </w:rPr>
        <w:t xml:space="preserve">Contract Disputes with Goodrich and PolyOne. </w:t>
      </w:r>
      <w:r>
        <w:rPr>
          <w:rFonts w:ascii="Arial" w:cs="Arial" w:eastAsia="Arial" w:hAnsi="Arial"/>
          <w:sz w:val="17"/>
          <w:szCs w:val="17"/>
          <w:color w:val="auto"/>
        </w:rPr>
        <w:t>In connection with the 1990 and 1997 acquisitions of the Goodrich Corporation ("Goodrich") chemical</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facility in Calvert City, Goodrich agreed to indemnify us for any liabilities related to preexisting contamination at the site. For our part, we agreed to indemnify Goodrich for post-closing contamination caused by our operations. The soil and groundwater at the site, which does not include our nearby PVC facility, had been extensively contaminated under Goodrich's operations. In 1993, Goodrich spun off the predecessor of PolyOne Corporation ("PolyOne"), and that predecessor assumed Goodrich's indemnification obligations relating to preexisting contamination.</w:t>
      </w:r>
    </w:p>
    <w:p>
      <w:pPr>
        <w:spacing w:after="0" w:line="119"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2003, litigation arose among us, Goodrich and PolyOne with respect to the allocation of the cost of remediating contamination at the site. The parties settled this litigation in December 2007 and the case was dismissed. In the settlement the parties agreed that, among other things: (1) PolyOne would pay 100% of the costs (with specified exceptions), net of recoveries or credits from third parties, incurred with respect to environmental issues at the Calvert City site from August 1, 2007 forward; (2) either we or PolyOne might, from time to time in the future (but not more than once every five years), institute an arbitration proceeding to adjust that percentage; and (3) we and PolyOne would negotiate a new environmental remediation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utilities and services agreement to cover our provision to, or on behalf of, PolyOne of certain environmental remediation services at the site. The current environmental remediation activities at the Calvert City site do not have a specified termination date but are expected to last for the foreseeable future. The costs incurred by us that have been invoiced to PolyOne to provide the environmental remediation services were $2.2 million and $2.8 million in 2015 and 2014, respectively. By letter dated March 16, 2010, PolyOne notified us that it was initiating an arbitration proceeding under the settlement agreement. In this proceeding, PolyOne sought to readjust the percentage allocation of costs and to recover approximately $1.4 million from us in reimbursement of previously paid remediation costs. In December 2015, the arbitration panel dismissed the proceeding with prejudice. In a separate proceeding in Ohio state court, we are seeking certain insurance documents from PolyOne.</w:t>
      </w:r>
    </w:p>
    <w:p>
      <w:pPr>
        <w:spacing w:after="0" w:line="124" w:lineRule="exact"/>
        <w:rPr>
          <w:sz w:val="20"/>
          <w:szCs w:val="20"/>
          <w:color w:val="auto"/>
        </w:rPr>
      </w:pPr>
    </w:p>
    <w:p>
      <w:pPr>
        <w:ind w:right="220" w:firstLine="432"/>
        <w:spacing w:after="0" w:line="271" w:lineRule="auto"/>
        <w:rPr>
          <w:sz w:val="20"/>
          <w:szCs w:val="20"/>
          <w:color w:val="auto"/>
        </w:rPr>
      </w:pPr>
      <w:r>
        <w:rPr>
          <w:rFonts w:ascii="Arial" w:cs="Arial" w:eastAsia="Arial" w:hAnsi="Arial"/>
          <w:sz w:val="17"/>
          <w:szCs w:val="17"/>
          <w:i w:val="1"/>
          <w:iCs w:val="1"/>
          <w:color w:val="auto"/>
        </w:rPr>
        <w:t xml:space="preserve">State Administrative Proceedings. </w:t>
      </w:r>
      <w:r>
        <w:rPr>
          <w:rFonts w:ascii="Arial" w:cs="Arial" w:eastAsia="Arial" w:hAnsi="Arial"/>
          <w:sz w:val="17"/>
          <w:szCs w:val="17"/>
          <w:color w:val="auto"/>
        </w:rPr>
        <w:t>There are several administrative proceedings in Kentucky involving us, Goodrich and PolyOne related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site in Calvert City. In 2003, the Kentucky Environmental and Public Protection Cabinet (the "Cabinet") re-issued Goodrich's RCRA permit which requires Goodrich to remediate contamination at the Calvert City manufacturing site. Both Goodrich and PolyOne challenged various terms of the permit in an attempt to shift Goodrich's clean-up obligations under the permit to us. We intervened in the proceedings. The Cabinet has suspended all corrective action under the RCRA permit in deference to a remedial investigation and feasibility study ("RIFS") being conducted, under the auspices of the U.S. Environmental Protection Agency ("EPA"), pursuant to an Administrative Settlement Agreement ("AOC"), which became effective on December 9, 2009. See "Federal Administrative Proceedings" below. The proceedings have been postponed. Periodic status conferences will be held to evaluate whether additional proceedings will be required.</w:t>
      </w:r>
    </w:p>
    <w:p>
      <w:pPr>
        <w:spacing w:after="0" w:line="125" w:lineRule="exact"/>
        <w:rPr>
          <w:sz w:val="20"/>
          <w:szCs w:val="20"/>
          <w:color w:val="auto"/>
        </w:rPr>
      </w:pPr>
    </w:p>
    <w:p>
      <w:pPr>
        <w:ind w:right="200" w:firstLine="432"/>
        <w:spacing w:after="0" w:line="289" w:lineRule="auto"/>
        <w:rPr>
          <w:sz w:val="20"/>
          <w:szCs w:val="20"/>
          <w:color w:val="auto"/>
        </w:rPr>
      </w:pPr>
      <w:r>
        <w:rPr>
          <w:rFonts w:ascii="Arial" w:cs="Arial" w:eastAsia="Arial" w:hAnsi="Arial"/>
          <w:sz w:val="16"/>
          <w:szCs w:val="16"/>
          <w:i w:val="1"/>
          <w:iCs w:val="1"/>
          <w:color w:val="auto"/>
        </w:rPr>
        <w:t xml:space="preserve">Federal Administrative Proceedings. </w:t>
      </w:r>
      <w:r>
        <w:rPr>
          <w:rFonts w:ascii="Arial" w:cs="Arial" w:eastAsia="Arial" w:hAnsi="Arial"/>
          <w:sz w:val="16"/>
          <w:szCs w:val="16"/>
          <w:color w:val="auto"/>
        </w:rPr>
        <w:t>In May 2009, the Cabinet sent a letter to the EPA requesting the EPA's assistance in addressing contamination at</w:t>
      </w:r>
      <w:r>
        <w:rPr>
          <w:rFonts w:ascii="Arial" w:cs="Arial" w:eastAsia="Arial" w:hAnsi="Arial"/>
          <w:sz w:val="16"/>
          <w:szCs w:val="16"/>
          <w:i w:val="1"/>
          <w:iCs w:val="1"/>
          <w:color w:val="auto"/>
        </w:rPr>
        <w:t xml:space="preserve"> </w:t>
      </w:r>
      <w:r>
        <w:rPr>
          <w:rFonts w:ascii="Arial" w:cs="Arial" w:eastAsia="Arial" w:hAnsi="Arial"/>
          <w:sz w:val="16"/>
          <w:szCs w:val="16"/>
          <w:color w:val="auto"/>
        </w:rPr>
        <w:t>the Calvert City site under CERCLA. In its response to the Cabinet also in May 2009, the EPA stated that it concurred with the Cabinet's request and would incorporate work previously conducted under the Cabinet's RCRA authority into the EPA's cleanup efforts under CERCLA. Since 1983, the EPA has been addressing contamination at an abandoned landfill adjacent to our plant which had been operated by Goodrich and which was being remediated pursuant to CERCLA. The EPA has directed Goodrich and PolyOne to conduct additional investigation activities at the landfill and at our plant. In June 2009, the EPA notified us that we may have potential liability under section 107(a) of CERCLA at our plant site. Liability under section 107(a) of CERCLA is strict and joint and several. The EPA also identified Goodrich and PolyOne, among others, as potentially responsible parties at the plant site. We negotiated, in conjunction with the other potentially responsible parties, an AOC and an order to conduct a RIFS. On July 12, 2013, the parties submitted separate draft RIFS reports to the EPA. The EPA has hired a contractor to complete the remedial investigation report.</w:t>
      </w:r>
    </w:p>
    <w:p>
      <w:pPr>
        <w:spacing w:after="0" w:line="11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Monetary Relief</w:t>
      </w:r>
      <w:r>
        <w:rPr>
          <w:rFonts w:ascii="Arial" w:cs="Arial" w:eastAsia="Arial" w:hAnsi="Arial"/>
          <w:sz w:val="18"/>
          <w:szCs w:val="18"/>
          <w:color w:val="auto"/>
        </w:rPr>
        <w:t>. Except as noted above, with respect to the settlement of the contract litigation among us, Goodrich and PolyOne, none of the court, the</w:t>
      </w:r>
      <w:r>
        <w:rPr>
          <w:rFonts w:ascii="Arial" w:cs="Arial" w:eastAsia="Arial" w:hAnsi="Arial"/>
          <w:sz w:val="18"/>
          <w:szCs w:val="18"/>
          <w:i w:val="1"/>
          <w:iCs w:val="1"/>
          <w:color w:val="auto"/>
        </w:rPr>
        <w:t xml:space="preserve"> </w:t>
      </w:r>
      <w:r>
        <w:rPr>
          <w:rFonts w:ascii="Arial" w:cs="Arial" w:eastAsia="Arial" w:hAnsi="Arial"/>
          <w:sz w:val="18"/>
          <w:szCs w:val="18"/>
          <w:color w:val="auto"/>
        </w:rPr>
        <w:t>Cabinet nor the EPA has established any allocation of the costs of remediation among the various parties that are involved in the judicial and administrative proceedings discussed above. At this time, we are not able to estimate the loss or reasonable possible loss, if any, on our financial statements that could result from the resolution of these proceedings. Any cash expenditures that we might incur in the future with respect to the remediation of contamination at the site would likely be spread out over an extended period. As a result, we believe it is unlikely that any remediation costs allocable to us will be material in terms of expenditures made in any individual reporting period.</w:t>
      </w:r>
    </w:p>
    <w:p>
      <w:pPr>
        <w:spacing w:after="0" w:line="139"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i w:val="1"/>
          <w:iCs w:val="1"/>
          <w:color w:val="auto"/>
        </w:rPr>
        <w:t>Potential Flare Modifications</w:t>
      </w:r>
      <w:r>
        <w:rPr>
          <w:rFonts w:ascii="Arial" w:cs="Arial" w:eastAsia="Arial" w:hAnsi="Arial"/>
          <w:sz w:val="16"/>
          <w:szCs w:val="16"/>
          <w:color w:val="auto"/>
        </w:rPr>
        <w:t>. For several years, the EPA has been conducting an enforcement initiative against petroleum refineries and petrochemical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plants with respect to emissions from flares. A number of companies have entered into consent agreements with the EPA requiring both modifications to reduce flare emissions and the installation of additional equipment to better track flare operations and emissions. On April 21, 2014, we received a Clean Air Act Section 114 Information Request from the EPA which sought information regarding flares at the Calvert City and Lake Charles facilities. The EPA has informed us that the information provided leads the EPA to believe that some of the flares are out of compliance with applicable standards. The EPA has demanded that we conduct additional flare sampling and provide supplemental information. We are currently in negotiations with the EPA regarding these demands. The EPA has indicated that it is seeking a consent decree that would obligate us to take corrective actions relating to the alleged noncompliance. We have not agreed that any flares are out of compliance or that any corrective actions are warranted. Depending on the outcome of our negotiations with the EPA, additional controls on emissions from our flares may be required and these could result in increased capital and operating costs.</w:t>
      </w:r>
    </w:p>
    <w:p>
      <w:pPr>
        <w:spacing w:after="0" w:line="113"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i w:val="1"/>
          <w:iCs w:val="1"/>
          <w:color w:val="auto"/>
        </w:rPr>
        <w:t xml:space="preserve">Louisiana Notice of Violations. </w:t>
      </w:r>
      <w:r>
        <w:rPr>
          <w:rFonts w:ascii="Arial" w:cs="Arial" w:eastAsia="Arial" w:hAnsi="Arial"/>
          <w:sz w:val="16"/>
          <w:szCs w:val="16"/>
          <w:color w:val="auto"/>
        </w:rPr>
        <w:t>The Louisiana Department of Environmental Quality ("LDEQ") has issued notices of violations ("NOVs") regarding our</w:t>
      </w:r>
      <w:r>
        <w:rPr>
          <w:rFonts w:ascii="Arial" w:cs="Arial" w:eastAsia="Arial" w:hAnsi="Arial"/>
          <w:sz w:val="16"/>
          <w:szCs w:val="16"/>
          <w:i w:val="1"/>
          <w:iCs w:val="1"/>
          <w:color w:val="auto"/>
        </w:rPr>
        <w:t xml:space="preserve"> </w:t>
      </w:r>
      <w:r>
        <w:rPr>
          <w:rFonts w:ascii="Arial" w:cs="Arial" w:eastAsia="Arial" w:hAnsi="Arial"/>
          <w:sz w:val="16"/>
          <w:szCs w:val="16"/>
          <w:color w:val="auto"/>
        </w:rPr>
        <w:t>assets for various air compliance issues. We are working with LDEQ to settle these claims, and a global settlement of all claims is being discussed. We have reached a verbal agreement with the LDEQ to settle certain of the NOVs in two separate settlements for a combined $192,000 in civil penalties. We do not believe that any settlements for the remaining NOVs will have a material adverse effect on our financial condition, results of operations or cash flows.</w:t>
      </w:r>
    </w:p>
    <w:p>
      <w:pPr>
        <w:spacing w:after="0" w:line="10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i w:val="1"/>
          <w:iCs w:val="1"/>
          <w:color w:val="auto"/>
        </w:rPr>
        <w:t xml:space="preserve">Greenhouse Gases. </w:t>
      </w:r>
      <w:r>
        <w:rPr>
          <w:rFonts w:ascii="Arial" w:cs="Arial" w:eastAsia="Arial" w:hAnsi="Arial"/>
          <w:sz w:val="18"/>
          <w:szCs w:val="18"/>
          <w:color w:val="auto"/>
        </w:rPr>
        <w:t>Various jurisdictions have considered or adopted laws and regulations on greenhouse gas ("GHG") emissions, with the general aim</w:t>
      </w:r>
      <w:r>
        <w:rPr>
          <w:rFonts w:ascii="Arial" w:cs="Arial" w:eastAsia="Arial" w:hAnsi="Arial"/>
          <w:sz w:val="18"/>
          <w:szCs w:val="18"/>
          <w:i w:val="1"/>
          <w:iCs w:val="1"/>
          <w:color w:val="auto"/>
        </w:rPr>
        <w:t xml:space="preserve"> </w:t>
      </w:r>
      <w:r>
        <w:rPr>
          <w:rFonts w:ascii="Arial" w:cs="Arial" w:eastAsia="Arial" w:hAnsi="Arial"/>
          <w:sz w:val="18"/>
          <w:szCs w:val="18"/>
          <w:color w:val="auto"/>
        </w:rPr>
        <w:t>of reducing such emissions. The EPA currently requires certain industrial facilities to report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their GHG emissions, and to obtain permits with stringent control requirements before constructing or modifying new facilities with significant GHG emissions. In the European Union, the Emissions Trading Scheme obligates certain emitters to obtain GHG emission allowances to comply with a cap and trade system for GHG emissions. As our chemical manufacturing processes result in GHG emissions, these and other GHG laws and regulations could affect our costs of doing business.</w:t>
      </w:r>
    </w:p>
    <w:p>
      <w:pPr>
        <w:spacing w:after="0" w:line="13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i w:val="1"/>
          <w:iCs w:val="1"/>
          <w:color w:val="auto"/>
        </w:rPr>
        <w:t xml:space="preserve">Chemical Safety. </w:t>
      </w:r>
      <w:r>
        <w:rPr>
          <w:rFonts w:ascii="Arial" w:cs="Arial" w:eastAsia="Arial" w:hAnsi="Arial"/>
          <w:sz w:val="18"/>
          <w:szCs w:val="18"/>
          <w:color w:val="auto"/>
        </w:rPr>
        <w:t>Assessments under government programs on chemical safety could adversely affect our business by increasing our costs of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reducing demand for our products, through new requirements on the production, handling, labeling or use of those chemicals. For example, in the European Union, the Regulation on Registration, Evaluation, Authorisation and Restriction of Chemicals ("REACH") is designed to identify the intrinsic properties of chemical substances, assess hazards and risks of the substances, and identify and implement risk management measures to protect humans and the environment. In the United States, the National Toxicology Program seeks to identify and select for study chemicals and other substances to evaluate potential human health hazards.</w:t>
      </w:r>
    </w:p>
    <w:p>
      <w:pPr>
        <w:spacing w:after="0" w:line="139"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It is our policy to comply with all environmental, health and safety requirements and to provide safe and environmentally sound workplaces</w:t>
      </w:r>
      <w:r>
        <w:rPr>
          <w:rFonts w:ascii="Arial" w:cs="Arial" w:eastAsia="Arial" w:hAnsi="Arial"/>
          <w:sz w:val="16"/>
          <w:szCs w:val="16"/>
          <w:i w:val="1"/>
          <w:iCs w:val="1"/>
          <w:color w:val="auto"/>
        </w:rPr>
        <w:t xml:space="preserve"> </w:t>
      </w:r>
      <w:r>
        <w:rPr>
          <w:rFonts w:ascii="Arial" w:cs="Arial" w:eastAsia="Arial" w:hAnsi="Arial"/>
          <w:sz w:val="16"/>
          <w:szCs w:val="16"/>
          <w:color w:val="auto"/>
        </w:rPr>
        <w:t>for our employees. In some cases, compliance can be achieved only by incurring capital expenditures. In 2015, we made capital expenditures of $21.4 million related to environmental compliance. We estimate that we will make capital expenditures of approximately $24.1 million in 2016 and $23.8 million in 2017, respectively, related to environmental compliance. Capital expenditures related to environmental compliance have been relatively higher in 2015 in large part due to EPA regulations and increasingly stringent requirements associated with environmental permits. We expect to incur further capital expenditures related to EPA regulations and requirements in 2016 and 2017. The remainder of the 2016 and 2017 estimated amounts are related to equipment replacement and upgrades. We anticipate that stringent environmental regulations will continue to be imposed on us and the industry in general. Although we cannot predict with certainty future expenditures, management believes that our current spending trends will continue.</w:t>
      </w:r>
    </w:p>
    <w:p>
      <w:pPr>
        <w:spacing w:after="0" w:line="11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It is difficult to estimate the future costs of environmental protection and remediation because of many uncertainties, including uncertainties about the status of laws, regulations and information related to individual locations and sites and our ability to rely on third parties to carry out such remediation. Subject to the foregoing, but taking into consideration our experience regarding environmental matters of a similar nature and facts currently known, and except for the outcome of pending litigation and regulatory proceedings, which we cannot predict, but which could have a material adverse effect on us, we believe that capital expenditures and remedial actions to comply with existing laws governing environmental protection will not have a material adverse effect on our business and financial results.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2015, we had approximately 4,225 employees in the following areas: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Category</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Number</w:t>
            </w:r>
          </w:p>
        </w:tc>
      </w:tr>
      <w:tr>
        <w:trPr>
          <w:trHeight w:val="250"/>
        </w:trPr>
        <w:tc>
          <w:tcPr>
            <w:tcW w:w="10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Olefins segment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r>
      <w:tr>
        <w:trPr>
          <w:trHeight w:val="243"/>
        </w:trPr>
        <w:tc>
          <w:tcPr>
            <w:tcW w:w="10180" w:type="dxa"/>
            <w:vAlign w:val="bottom"/>
            <w:gridSpan w:val="2"/>
          </w:tcPr>
          <w:p>
            <w:pPr>
              <w:ind w:left="40"/>
              <w:spacing w:after="0"/>
              <w:rPr>
                <w:sz w:val="20"/>
                <w:szCs w:val="20"/>
                <w:color w:val="auto"/>
              </w:rPr>
            </w:pPr>
            <w:r>
              <w:rPr>
                <w:rFonts w:ascii="Arial" w:cs="Arial" w:eastAsia="Arial" w:hAnsi="Arial"/>
                <w:sz w:val="18"/>
                <w:szCs w:val="18"/>
                <w:color w:val="auto"/>
              </w:rPr>
              <w:t>Vinyls segment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3,050</w:t>
            </w:r>
          </w:p>
        </w:tc>
      </w:tr>
      <w:tr>
        <w:trPr>
          <w:trHeight w:val="27"/>
        </w:trPr>
        <w:tc>
          <w:tcPr>
            <w:tcW w:w="10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10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175</w:t>
            </w:r>
          </w:p>
        </w:tc>
      </w:tr>
      <w:tr>
        <w:trPr>
          <w:trHeight w:val="27"/>
        </w:trPr>
        <w:tc>
          <w:tcPr>
            <w:tcW w:w="10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Approximately 32% of our employees are represented by labor unions, and all of these union employees are working under collective bargaining agreements. In the United States, approximately 9% of our employees are represented by labor unions and are working under collective bargaining agreements that will expire in 2019. In Europe, we have multiple collective bargaining agreements, with varying expiration years, covering different groups of our work force. There have been no strikes or lockouts, and we have not experienced any work stoppages throughout our history. We believe that our relationship with our employees and unions is open and positive.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Historically, our technology strategy has been to selectively acquire licenses from third-parties, as well as develop our own proprietary technology. Our selection process incorporates many factors, including the cost of the technology, the ability to meet our customers' requirements, raw material and energy consumption rates, product quality, capital costs, maintenance requirements and reliability. Most of the technology licensed from third-party providers is perpetual and has been paid in full. We own an intellectual property portfolio developed from focused research in both process and product technology. After acquiring or developing a technology, we devote considerable effort to effectively employ the technology and further its development, with a focus towards continuous improvement of our competitive positions.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120" w:firstLine="432"/>
        <w:spacing w:after="0" w:line="226" w:lineRule="auto"/>
        <w:rPr>
          <w:sz w:val="20"/>
          <w:szCs w:val="20"/>
          <w:color w:val="auto"/>
        </w:rPr>
      </w:pPr>
      <w:r>
        <w:rPr>
          <w:rFonts w:ascii="Arial" w:cs="Arial" w:eastAsia="Arial" w:hAnsi="Arial"/>
          <w:sz w:val="18"/>
          <w:szCs w:val="18"/>
          <w:color w:val="auto"/>
        </w:rPr>
        <w:t>Conversely, we have selectively granted licenses to our patented Energx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for LLDPE production and for proprietary LDPE reactor mixing technology. We have also granted several licenses for EDC/VCM technology, including the direct chlorination process and catalyst, and S-PVC process and technology.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Information regarding sales, income from operations and assets attributable to our Olefins and Vinyls segments, and geographical information is presented in Note 23 to our consolidated financial statements included in Item 8 of this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Our Web site address is www.westlake.com. We make our Web site content available for information purposes only. It should not be relied upon for investment purposes, nor is it incorporated by reference in this Form 10-K. We make available on this Web site under "Investor Relations/SEC Filings," free of charge, our proxy statements, annual reports on Form 10-K, quarterly reports on Form 10-Q, current reports on Form 8-K and amendments to those materials as soon as reasonably practicable after we electronically file those materials with, or furnish those materials to, the SEC. The SEC also maintains a Web site at www.sec.gov that contains reports, proxy statements and other information regarding SEC registrants, including us.</w:t>
      </w:r>
    </w:p>
    <w:p>
      <w:pPr>
        <w:spacing w:after="0" w:line="104"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We intend to satisfy the requirement under Item 5.05 of Form 8-K to disclose any amendments to our Code of Ethics and any waiver from a provision of our Code of Ethics by posting such information on our Web site at www.westlake.com under "Investor Relations/Corporate Governance."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Cyclicality in the petrochemical industry has in the past, and may in the future, result in reduced operating margins or operating losses.</w:t>
      </w:r>
    </w:p>
    <w:p>
      <w:pPr>
        <w:spacing w:after="0" w:line="10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historical operating results reflect the cyclical and volatile nature of the petrochemical industry. The industry is mature and capital intensive. Margins in this industry are sensitive to supply and demand balances both domestically and internationally, which historically have been cyclical. The cycles are generally characterized by periods of tight supply, leading to high operating rates and margins, followed by periods of oversupply primarily resulting from excess new capacity additions, leading to reduced operating rates and lower margins.</w:t>
      </w:r>
    </w:p>
    <w:p>
      <w:pPr>
        <w:spacing w:after="0" w:line="13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Moreover, profitability in the petrochemical industry is affected by the worldwide level of demand along with vigorous price competition which may intensify due to, among other things, new industry capacity. In general, weak economic conditions either in the United States, Europe or the rest of the world tend to reduce demand and put pressure on margins. It is not possible to predict accurately the supply and demand balances, market conditions and other factors that will affect industry operating margins in the future.</w:t>
      </w:r>
    </w:p>
    <w:p>
      <w:pPr>
        <w:spacing w:after="0" w:line="133" w:lineRule="exact"/>
        <w:rPr>
          <w:sz w:val="20"/>
          <w:szCs w:val="20"/>
          <w:color w:val="auto"/>
        </w:rPr>
      </w:pPr>
    </w:p>
    <w:p>
      <w:pPr>
        <w:ind w:right="420" w:firstLine="432"/>
        <w:spacing w:after="0" w:line="308" w:lineRule="auto"/>
        <w:rPr>
          <w:sz w:val="20"/>
          <w:szCs w:val="20"/>
          <w:color w:val="auto"/>
        </w:rPr>
      </w:pPr>
      <w:r>
        <w:rPr>
          <w:rFonts w:ascii="Arial" w:cs="Arial" w:eastAsia="Arial" w:hAnsi="Arial"/>
          <w:sz w:val="17"/>
          <w:szCs w:val="17"/>
          <w:color w:val="auto"/>
        </w:rPr>
        <w:t>New olefins capacity additions in Asia, the Middle East and North America, a number of which have been announced in recent years, may lead to periods of over-supply and lower profitability. As a result, our Olefins segment operating margins may be negatively impacted.</w:t>
      </w:r>
    </w:p>
    <w:p>
      <w:pPr>
        <w:spacing w:after="0" w:line="9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Continued slow recovery in the U.S. construction markets and budgetary constraints in municipal spending have contributed to lower North American demand for our vinyls products. Likewise, European industry production capacities currently exceed demand in the region, largely due to the weak economic environment in Europe. Looking forward, our Vinyls segment operating rates and margins may continue to be negatively impacted by the slow recovery of the U.S. construction markets and the European economy.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sell commodity products in highly competitive markets and face significant competition and price pressure.</w:t>
      </w:r>
    </w:p>
    <w:p>
      <w:pPr>
        <w:spacing w:after="0" w:line="90"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sell our products in highly competitive markets. Due to the commodity nature of many of our products, competition in these markets is based primarily on price and to a lesser extent on performance, product quality, product deliverability and customer service. As a result, we generally are not able to protect our market position for these products by product differentiation and may not be able to pass on cost increases to our customers. Accordingly, increases in raw material and other costs may not necessarily correlate with changes in prices for these products, either in the direction of the price change or in magnitude. Specifically, timing differences in pricing between raw material prices, which may change daily, and contract product prices, which in many cases are negotiated monthly or less often, sometimes with an additional lag in effective dates for increases, have had and may continue to have a negative effect on profitability. Significant volatility in raw material costs tends to place pressure on product margins as sales price increases could lag behind raw material cost increases. Conversely, when raw material costs decrease, customers could seek relief in the form of lower sales prices.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2" w:right="27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Volatility in costs of raw materials and energy may result in increased operating expenses and adversely affect our results of operations and cash flow.</w:t>
      </w:r>
    </w:p>
    <w:p>
      <w:pPr>
        <w:spacing w:after="0" w:line="1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Significant variations in the costs and availability of raw materials and energy may negatively affect our results of operations. These costs have risen significantly in the past due primarily to oil and natural gas cost increases. We purchase significant amounts of ethane feedstock, natural gas, ethylene and salt to produce several basic chemicals. We also purchase significant amounts of electricity to supply the energy required in our production processes. The cost of these raw materials and energy, in the aggregate, represents a substantial portion of our operating expenses. The prices of raw materials and energy generally follow price trends of, and vary with market conditions for, crude oil and natural gas, which are highly volatile and cyclical. Changes to regulatory policies applicable to the German energy sector for industrial users have contributed to higher prices for industrial users of energy in the future. Our results of operations have been and could in the future be significantly affected by increases in these costs.</w:t>
      </w:r>
    </w:p>
    <w:p>
      <w:pPr>
        <w:spacing w:after="0" w:line="124"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Price increases increase our working capital needs and, accordingly, can adversely affect our liquidity and cash flow. In addition, because we utilize the first-in, first-out ("FIFO") method of inventory accounting, during periods of falling raw material prices and declining sales prices, our results of operations for a particular reporting period could be negatively impacted as the lower sales prices would be reflected in operating income more quickly than the corresponding drop in feedstock costs. We use derivative instruments in an attempt to reduce price volatility risk on some feedstock commodities. In the future, we may decide not to hedge any of our raw material costs or any hedges we enter into may not have successful results. Also, our hedging activities involve credit risk associated with our hedging counterparties, and a deterioration in the financial markets could adversely affect our hedging counterparties and their abilities to fulfill their obligations to us.</w:t>
      </w:r>
    </w:p>
    <w:p>
      <w:pPr>
        <w:spacing w:after="0" w:line="124"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Lower prices of crude oil, such as those experienced since the third quarter of 2014 and continuing through 2015 (as of December 31, 2015, over 65% lower than their 2014 peak levels), have led to a reduction in the cost advantage for natural gas liquids-based ethylene crackers in North America, such as ours, as compared to naphtha-based ethylene crackers that use crude oil derivatives. As a result, our margins and cash flow have been and may continue to be negatively impacted. This impact could be magnified to the extent crude oil prices drop even further and depending on how long prices remain at these levels. Lower crude oil and natural gas prices could lead to a reduction in hydraulic fracturing in the United States, which could reduce the availability of feedstock and increase prices of feedstock for our operations. Higher natural gas prices could also adversely affect our ability to export products that we produce in the United States outside of the United States. In addition to the impact that this has on our exports from the United States, reduced competitiveness of U.S. producers also has in the past increased the availability of chemicals in North America, as U.S. production that would otherwise have been sold overseas was instead offered for sale domestically, resulting in excess supply and lower prices in North America. We could also face the threat of imported products from countries that have a cost advantage. Additionally, the export of natural gas liquids from the United States or greater restrictions on hydraulic fracturing could restrict the availability of our raw materials in the United States, thereby increasing our costs.</w:t>
      </w:r>
    </w:p>
    <w:p>
      <w:pPr>
        <w:spacing w:after="0" w:line="20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External factors beyond our control can cause fluctuations in demand for our products and in our prices and margins, which may negatively affect our results of operations and cash flow.</w:t>
      </w:r>
    </w:p>
    <w:p>
      <w:pPr>
        <w:spacing w:after="0" w:line="35"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External factors beyond our control can cause volatility in raw material prices, demand for our products, product prices and volumes and deterioration in operating margins. These factors can also magnify the impact of economic cycles on our business and results of operations. Examples of external factors include:</w:t>
      </w:r>
    </w:p>
    <w:p>
      <w:pPr>
        <w:spacing w:after="0" w:line="46" w:lineRule="exact"/>
        <w:rPr>
          <w:sz w:val="20"/>
          <w:szCs w:val="20"/>
          <w:color w:val="auto"/>
        </w:rPr>
      </w:pPr>
    </w:p>
    <w:p>
      <w:pPr>
        <w:ind w:left="880" w:hanging="35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including in the United States, Europe and Asia;</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capacity additions in North America, Asia and the Middle East;</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business activity in the industries that use our products;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competitor action;</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innovations;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international events and circumstances;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 terrorism and civil unrest;</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governmental regulation, including in the United States, Europe and Asia;</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severe weather and natural disasters;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credit worthiness of customers and vendors.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A number of our products are highly dependent on durable goods markets, such as housing and construction, which are themselves particularly cyclical. The significant weakening of the U.S. residential housing market since 2006 and continued economic weakness in Europe has had an adverse effect on demand and margins for our products. If the global economy worsens in general, or the U.S. residential housing market or the European economy worsens in particular, demand for our products and our income and cash flow could be adversely affected to an even greater degree.</w:t>
      </w:r>
    </w:p>
    <w:p>
      <w:pPr>
        <w:spacing w:after="0" w:line="117" w:lineRule="exact"/>
        <w:rPr>
          <w:sz w:val="20"/>
          <w:szCs w:val="20"/>
          <w:color w:val="auto"/>
        </w:rPr>
      </w:pPr>
    </w:p>
    <w:p>
      <w:pPr>
        <w:jc w:val="both"/>
        <w:ind w:right="120" w:firstLine="432"/>
        <w:spacing w:after="0" w:line="302" w:lineRule="auto"/>
        <w:rPr>
          <w:sz w:val="20"/>
          <w:szCs w:val="20"/>
          <w:color w:val="auto"/>
        </w:rPr>
      </w:pPr>
      <w:r>
        <w:rPr>
          <w:rFonts w:ascii="Arial" w:cs="Arial" w:eastAsia="Arial" w:hAnsi="Arial"/>
          <w:sz w:val="16"/>
          <w:szCs w:val="16"/>
          <w:color w:val="auto"/>
        </w:rPr>
        <w:t>We may reduce production at or idle a facility for an extended period of time or exit a business because of high raw material prices, an oversupply of a particular product and/or a lack of demand for that particular product, which makes production uneconomical. Temporary outages sometimes last for several quarters or, in certain cases, longer and cause us to incur costs, including the expenses of maintaining and restarting these facilities. Factors such as increases in raw material costs or lower demand in the future may cause us to further reduce operating rates, idle facilities or exit uncompetitive businesses.</w:t>
      </w:r>
    </w:p>
    <w:p>
      <w:pPr>
        <w:spacing w:after="0" w:line="10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Hostilities in the Middle East, the Commonwealth of Independent States (including Ukraine) or elsewhere or the occurrence, or threat of occurrence, of terrorist attacks could adversely affect the economies of the United States, Europe and other developed countries. A lower level of economic activity could result in a decline in demand for our products, which could adversely affect our net sales and margins and limit our future growth prospects. Volatility in prices for crude oil and natural gas could also result in increased feedstock costs. Furthermore, sustained lower prices of crude oil, such as the prices experienced since the third quarter of 2014 and continuing through 2015, have led and may continue to lead to lower margins in the United States. In addition, these risks could cause increased instability in the financial and insurance markets and could adversely affect our ability to access capital and to obtain insurance coverage that we consider adequate or is otherwise required by our contracts with third parties.</w:t>
      </w:r>
    </w:p>
    <w:p>
      <w:pPr>
        <w:spacing w:after="0" w:line="2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operate internationally and are subject to related risks, including exchange rate fluctuations, exchange controls, political risk and other risks relating to international operations.</w:t>
      </w:r>
    </w:p>
    <w:p>
      <w:pPr>
        <w:spacing w:after="0" w:line="3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operate internationally and are subject to the risks of doing business on a global basis. These risks include, but are not limited to, fluctuations in currency exchange rates, currency devaluations, imposition of trade barriers, imposition of tariffs and duties, restrictions on the transfer of funds, changes in law and regulatory requirements, involvement in judicial proceedings in unfavorable jurisdictions, economic instability and disruptions, political unrest and epidemics. Our operating results could be negatively affected by any of these risks.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deterioration in global economic conditions may have a negative impact on our business and financial condition.</w:t>
      </w:r>
    </w:p>
    <w:p>
      <w:pPr>
        <w:spacing w:after="0" w:line="90"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color w:val="auto"/>
        </w:rPr>
        <w:t>A deterioration in global economic conditions, including continued economic weakness in Europe, may have a negative impact on our business and our financial condition. Our ability to access the capital markets may be severely restricted at a time when we would like, or need, to access such markets, which could have an impact on our flexibility to react to changing economic and business conditions. In addition, the availability of additional financing at cost effective interest rates cannot be assured. A deterioration in global economic conditions, including continued economic weakness in Europe, could have an impact on the lenders under our revolving credit facility or on our customers and suppliers, causing them to fail to meet their obligations to us. Additionally, a deterioration in global economic conditions could result in reduced demand for our products, which would have a negative impact on our revenues and profits. Further, reduced levels of accounts receivables and inventory may affect our credit facility borrowing base. Our credit facility allows us to borrow up to (1) 85% of the net amount of eligible accounts receivable, plus (2) the lesser of (a) 70% of the value of the lower of cost or market of eligible inventory, or</w:t>
      </w:r>
    </w:p>
    <w:p>
      <w:pPr>
        <w:spacing w:after="0" w:line="1" w:lineRule="exact"/>
        <w:rPr>
          <w:sz w:val="20"/>
          <w:szCs w:val="20"/>
          <w:color w:val="auto"/>
        </w:rPr>
      </w:pPr>
    </w:p>
    <w:p>
      <w:pPr>
        <w:ind w:right="420" w:firstLine="8"/>
        <w:spacing w:after="0" w:line="254"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85% of the appraised net orderly liquidation value of all eligible inventory, plus (3) 100% of cash held in an account with the agent under the credit facility and subject to a control agreement with the agent, minus (4) such reserves as the agent may establish. Europe's economic recovery has been slow relative to the United States. If Europe does not experience a meaningful economic recovery, it may have a continued negative effect on our European business.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compete successfully may reduce our operating profits.</w:t>
      </w:r>
    </w:p>
    <w:p>
      <w:pPr>
        <w:spacing w:after="0" w:line="90"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The petrochemical industry is highly competitive. Historically, there have been a number of mergers, acquisitions, spin-offs and joint ventures in the industry. This restructuring activity has resulted in fewer but more competitive producers, many of which are larger than we are and have greater financial resources than we do. Among our competitors are some of the world's largest chemical companies and chemical industry joint ventures. Competition within the petrochemical industry and in the manufacturing of building products is affected by a variety of factors, including:</w:t>
      </w:r>
    </w:p>
    <w:p>
      <w:pPr>
        <w:spacing w:after="0" w:line="36" w:lineRule="exact"/>
        <w:rPr>
          <w:sz w:val="20"/>
          <w:szCs w:val="20"/>
          <w:color w:val="auto"/>
        </w:rPr>
      </w:pPr>
    </w:p>
    <w:p>
      <w:pPr>
        <w:ind w:left="880" w:hanging="359"/>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price;</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technical support and customer service;</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quality;</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reliability of raw material and utility supply;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880" w:hanging="35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potential substitute materials;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performance.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Changes in the competitive environment could have a material adverse effect on our business and our operations. These changes could include:</w:t>
      </w:r>
    </w:p>
    <w:p>
      <w:pPr>
        <w:spacing w:after="0" w:line="102" w:lineRule="exact"/>
        <w:rPr>
          <w:sz w:val="20"/>
          <w:szCs w:val="20"/>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emergence of new domestic and international competitors;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 of capacity additions by competitors;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customer base due to mergers;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intensification of price competition in our markets;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introduction of new or substitute products by competitors;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technological innovations of competitors.</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production facilities process some volatile and hazardous materials that subject us to operating risks that could adversely affect our operating results.</w:t>
      </w:r>
    </w:p>
    <w:p>
      <w:pPr>
        <w:spacing w:after="0" w:line="125"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We have four chemical manufacturing sites in the United States, six chemical manufacturing sites in Europe and one chemical manufacturing site in Asia. Our operations are subject to the usual hazards associated with chemical and plastics manufacturing and the related use, storage, transportation and disposal of feedstocks, products and wastes, including:</w:t>
      </w:r>
    </w:p>
    <w:p>
      <w:pPr>
        <w:spacing w:after="0" w:line="46" w:lineRule="exact"/>
        <w:rPr>
          <w:sz w:val="20"/>
          <w:szCs w:val="20"/>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pipeline leaks and ruptures;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explosions;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fires;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severe weather and natural disasters;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mechanical failure;</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unscheduled downtime;</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labor difficulties;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transportation interruptions;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chemical spills;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discharges or releases of toxic or hazardous substances or gases;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storage tank leaks;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environmental risks;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terrorist attacks;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unrest.</w:t>
      </w:r>
    </w:p>
    <w:p>
      <w:pPr>
        <w:spacing w:after="0" w:line="171"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According to some experts, global climate change could result in heightened hurricane activity in the Gulf of Mexico and other weather and natural disaster hazards worldwide. If this materializes, severe weather and natural disaster hazards could pose an even greater risk for our facilities, particularly those in Louisiana.</w:t>
      </w:r>
    </w:p>
    <w:p>
      <w:pPr>
        <w:spacing w:after="0" w:line="12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All these hazards can cause personal injury and loss of life, catastrophic damage to or destruction of property and equipment and environmental damage, and may result in a suspension of operations and the imposition of civil or criminal penalties. We could become subject to environmental claims brought by governmental entities or third parties. A loss or shutdown over an extended period of operations at any one of our chemical manufacturing facilities would have a material adverse effect on us. We maintain property, business interruption and casualty insurance that we believe is in accordance with customary industry practices, but we cannot be fully insured against all potential hazards incident to our business, including losses resulting from war risks or terrorist acts. As a result of market conditions, premiums and deductibles for certain insurance policies can increase substantially and, in some instances, certain insurance may become unavailable or available only for reduced amounts of coverage. If we were to incur a significant liability for which we were not fully insured, it could have a material adverse effect on our financial position.</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pursue acquisitions, dispositions and joint ventures and other transactions that may impact our results of operations and financial condition.</w:t>
      </w:r>
    </w:p>
    <w:p>
      <w:pPr>
        <w:spacing w:after="0" w:line="113"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seek opportunities to maximize efficiency and create stockholder value through various transactions. These transactions may include various domestic and international business combinations, purchases or sales of assets or contractual arrangements or joint ventures that are intended to result in the realization of synergies, the creation of efficiencies or the generation of cash to reduce debt. In this regard, we regularly consider acquisition opportunities that would be consistent or complementary to our existing business strategies. To the extent permitted under our credit facility, the indenture governing our senior notes and other debt agreements, some of these transactions may be financed by additional borrowings by us. Although we would pursue these transactions because we expect them to yield longer-term benefits if the efficiencies and synergies we expect are realized, they could adversely affect our results of operations in the short term because of the costs associated with such transactions and because they may divert management's attention from existing business operations. Other transactions may advance future cash flows from some of our businesses, thereby yielding increased short-term liquidity, but consequently resulting in lower cash flows from these operations over the longer term. These transactions may not yield the business benefits, synergies or financial benefits anticipated by management. Integration of acquired operations can lead to restructuring charges or other costs. We may have difficulties integrating the operations of acquired businesses.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and assets are subject to extensive environmental, health and safety laws and regulations.</w:t>
      </w:r>
    </w:p>
    <w:p>
      <w:pPr>
        <w:spacing w:after="0" w:line="90"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We use large quantities of hazardous substances and generate large quantities of hazardous wastes and emissions in our manufacturing operations. Due to the large quantities of hazardous substances and wastes, our industry is highly regulated and monitored by various environmental regulatory authorities. As such, we are subject to extensive international, national, state and local laws, regulations and directives pertaining to pollution and protection of the environment, health and safety, which govern, among other things, emissions to the air, discharges onto land or waters, the maintenance of safe conditions in the workplace, the remediation of contaminated sites, and the generation, handling, storage, transportation, treatment and disposal of waste materials. Some of these laws, regulations and directives are subject to varying and conflicting interpretations. Many of these laws, regulations and directives provide for substantial fines and potential criminal sanctions for violations and require the installation of costly pollution control equipment or operational changes to limit pollution emissions or reduce the likelihood or impact of hazardous substance releases, whether permitted or not. For example, all of our petrochemical facilities in the United States and Europe may require improvements to comply with certain changes in process safety management requirements.</w:t>
      </w:r>
    </w:p>
    <w:p>
      <w:pPr>
        <w:spacing w:after="0" w:line="113"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New laws, rules and regulations as well as changes to laws, rules and regulations may also affect us. For example, on April 17, 2012, the EPA promulgated MACT standards for major sources and generally available control technology ("GACT") standards for area sources of PVC production. The rule sets emission limits and work practice standards for total organic air toxics and for three specific air toxics: vinyl chloride, chlorinated di-benzo dioxins and furans ("CD/DF"), and hydrogen chloride and includes requirements to demonstrate initial and continuous compliance with the emission standards. Similarly, the Toxic Substances Control Act ("TSCA") imposes reporting, record-keeping and testing requirements, and restrictions relating to the production, handling, and use of chemical substances. In December 2015, the U.S. Senate passed its version of a TSCA reform bill. The U.S. House of Representatives had previously passed a similar bill in June 2015. If the two bills are reconciled and TSCA reform becomes law, it could change the way TSCA applies or is applied to our operations. This law or future new, amended or proposed laws or rules may result in an increase in regulations, which could increase our costs or reduce our production, which could have a material adverse effect on our business, financial condition, operating results or cash flow. In addition, we cannot accurately predict future developments, such as increasingly strict environmental and safety laws or regulations, and inspection and enforcement policies, as well as resulting higher compliance costs, which might affect the handling, manufacture, use, emission, disposal or remediation of products, other materials or hazardous and non-hazardous waste, and we cannot predict with certainty the extent of our future liabilities and costs under environmental, health and safety laws and regulations. These liabilities and costs may be material.</w:t>
      </w:r>
    </w:p>
    <w:p>
      <w:pPr>
        <w:spacing w:after="0" w:line="134"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Our operations produce GHG emissions, which have been the subject of increased scrutiny and regulation. In 2005, the Kyoto Protocol to the 1992 United Nations Framework Convention on Climate Change, which establishes a binding set of emission targets for GHG emissions, became binding on the countries that had ratified it. In 2015, the United Nations Conference on Climate Change created the Paris Agreement, which will be open for signing on April 22, 2016. The Paris Agreement will require countries to review and "represent a progression" in their intended nationally determined contributions, which set GHG emission reduction goals, every five years beginning in 2020. Legislation to regulate GHG emissions has also been introduced in the United States Congress, and there has been a wide-ranging policy debate regarding the impact of these gases and possible means for their regulation. Some of the proposals would require industries to meet stringent new standards that would require substantial reductions in carbon emissions. Those reductions could be costly and difficult to implement.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Various jurisdictions have considered or adopted laws and regulations on GHG emissions, with the general aim of reducing such emissions. The EPA currently requires certain industrial facilities to report their GHG emissions, and to obtain permits with stringent control requirements before constructing or modifying new facilities with significant GHG emissions. In the European Union, the Emissions Trading Scheme obligates certain emitters to obtain GHG emission allowances to comply with a cap and trade system for GHG emissions. As our chemical manufacturing processes result in GHG emissions, these and other GHG laws and regulations could affect our costs of doing business.</w:t>
      </w:r>
    </w:p>
    <w:p>
      <w:pPr>
        <w:spacing w:after="0" w:line="119"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Under the IED, European Union member state governments are expected to adopt rules and implement environmental permitting programs relating to air, water and waste for industrial facilities. In this context, concepts such as BAT are being explored. Future implementation of these concepts may result in technical modifications in our European facilities. In addition, under the Environmental Liability Directive, European Union member states can require the remediation of soil and groundwater contamination in certain circumstances, under the "polluter pays principle." We are unable to predict the impact these requirements and concepts may have on our future costs of compliance.</w:t>
      </w:r>
    </w:p>
    <w:p>
      <w:pPr>
        <w:spacing w:after="0" w:line="11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also may face liability for alleged personal injury or property damage due to exposure to chemicals or other hazardous substances at our facilities or to chemicals that we otherwise manufacture, handle or own. Although these types of claims have not historically had a material impact on our operations, a significant increase in the success of these types of claims could have a material adverse effect on our business, financial condition, operating results or cash flow.</w:t>
      </w:r>
    </w:p>
    <w:p>
      <w:pPr>
        <w:spacing w:after="0" w:line="13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Environmental laws may have a significant effect on the nature and scope of, and responsibility for, cleanup of contamination at our current and former operating facilities, the costs of transportation and storage of raw materials and finished products, the costs of reducing emissions and the costs of the storage and disposal of wastewater. CERCLA, similar state laws and certain European directives impose joint and several liability for the costs of remedial investigations and actions on the entities that generated waste, arranged for disposal of the wastes, transported to or selected the disposal sites and the past and present owners and operators of such sites. All such potentially responsible parties (or any one of them, including us) may be required to bear all of such costs regardless of fault, legality of the original disposal or ownership of the disposal site. In addition, CERCLA, similar state laws and certain European directives could impose liability for damages to natural resources caused by contamination.</w:t>
      </w:r>
    </w:p>
    <w:p>
      <w:pPr>
        <w:spacing w:after="0" w:line="124"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Although we seek to take preventive action, our operations are inherently subject to accidental spills, discharges or other releases of hazardous substances that may make us liable to governmental entities or private parties. This may involve contamination associated with our current and former facilities, facilities to which we sent wastes or by-products for treatment or disposal and other contamination. Accidental discharges may occur in the future, future action may be taken in connection with past discharges, governmental agencies may assess damages or penalties against us in connection with any past or future contamination, or third parties may assert claims against us for damages allegedly arising out of any past or future contamination. In addition, we may be liable for existing contamination related to certain of our facilities for which, in some cases, we believe third parties are liable in the event such third parties fail to perform their obligations. For further discussion of such existing contamination, see Item 1, "Business—Environmental and Other Regulation."</w:t>
      </w:r>
    </w:p>
    <w:p>
      <w:pPr>
        <w:spacing w:after="0" w:line="1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Capital projects are subject to risks, including delays and cost overruns, which could have an adverse impact on our financial condition and results of operations.</w:t>
      </w:r>
    </w:p>
    <w:p>
      <w:pPr>
        <w:spacing w:after="0" w:line="35"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We have announced capital expansion plans for our Lake Charles and Calvert City facilities. Expansion projects may be subject to delays or cost overruns, including delays or cost overruns resulting from any one or more of the following:</w:t>
      </w:r>
    </w:p>
    <w:p>
      <w:pPr>
        <w:spacing w:after="0" w:line="35" w:lineRule="exact"/>
        <w:rPr>
          <w:sz w:val="20"/>
          <w:szCs w:val="20"/>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unexpectedly long delivery times for, or shortages of, key equipment, parts or materials;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shortages of skilled labor and other personnel necessary to perform the work;</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and performance issues;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failures or delays of third-party equipment vendors or service providers;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increases in the cost of equipment, labor and raw materials;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 stoppages and other labor disputes;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actual or purported change orders;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disputes with contractors and suppliers;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 and engineering problems;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latent damages or deterioration to equipment and machinery in excess of engineering estimates and assumptions;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or other difficulties of our contractors and suppliers;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interference from adverse weather conditions;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obtaining necessary permits or in meeting permit conditions.</w:t>
      </w:r>
    </w:p>
    <w:p>
      <w:pPr>
        <w:spacing w:after="0" w:line="17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Significant cost overruns or delays could materially affect our financial condition and results of operations. Additionally, capital expenditures for these projects could materially exceed our planned capital expenditures.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level of debt could adversely affect our ability to operate our business.</w:t>
      </w:r>
    </w:p>
    <w:p>
      <w:pPr>
        <w:spacing w:after="0" w:line="90"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As of December 31, 2015, we had total outstanding debt of $764.1 million, and our debt represented approximately 18% of our total capitalization. Our annual interest expense for 2015 was $34.7 million, net of interest capitalized of $10.4 million. Our level of debt and the limitations imposed on us by our existing or future debt agreements could have significant consequences on our business and future prospects, including the following:</w:t>
      </w:r>
    </w:p>
    <w:p>
      <w:pPr>
        <w:spacing w:after="0" w:line="12" w:lineRule="exact"/>
        <w:rPr>
          <w:sz w:val="20"/>
          <w:szCs w:val="20"/>
          <w:color w:val="auto"/>
        </w:rPr>
      </w:pPr>
    </w:p>
    <w:p>
      <w:pPr>
        <w:ind w:left="880" w:right="420" w:hanging="332"/>
        <w:spacing w:after="0" w:line="277" w:lineRule="auto"/>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portion of our cash flow from operations will be dedicated to the payment of interest and principal on our debt and will not be available for other purposes, including the payment of dividends;</w:t>
      </w:r>
    </w:p>
    <w:p>
      <w:pPr>
        <w:spacing w:after="0" w:line="35" w:lineRule="exact"/>
        <w:rPr>
          <w:rFonts w:ascii="Arial" w:cs="Arial" w:eastAsia="Arial" w:hAnsi="Arial"/>
          <w:sz w:val="18"/>
          <w:szCs w:val="18"/>
          <w:color w:val="auto"/>
        </w:rPr>
      </w:pPr>
    </w:p>
    <w:p>
      <w:pPr>
        <w:ind w:left="880" w:right="40" w:hanging="332"/>
        <w:spacing w:after="0" w:line="277" w:lineRule="auto"/>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 may not be able to obtain necessary financing in the future for working capital, capital expenditures, acquisitions, debt service requirements or other purposes;</w:t>
      </w:r>
    </w:p>
    <w:p>
      <w:pPr>
        <w:spacing w:after="0" w:line="35" w:lineRule="exact"/>
        <w:rPr>
          <w:rFonts w:ascii="Arial" w:cs="Arial" w:eastAsia="Arial" w:hAnsi="Arial"/>
          <w:sz w:val="18"/>
          <w:szCs w:val="18"/>
          <w:color w:val="auto"/>
        </w:rPr>
      </w:pPr>
    </w:p>
    <w:p>
      <w:pPr>
        <w:ind w:left="880" w:right="80" w:hanging="332"/>
        <w:spacing w:after="0" w:line="277" w:lineRule="auto"/>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our less leveraged competitors could have a competitive advantage because they have greater flexibility to utilize their cash flow to improve their operations;</w:t>
      </w:r>
    </w:p>
    <w:p>
      <w:pPr>
        <w:spacing w:after="0" w:line="35" w:lineRule="exact"/>
        <w:rPr>
          <w:rFonts w:ascii="Arial" w:cs="Arial" w:eastAsia="Arial" w:hAnsi="Arial"/>
          <w:sz w:val="18"/>
          <w:szCs w:val="18"/>
          <w:color w:val="auto"/>
        </w:rPr>
      </w:pPr>
    </w:p>
    <w:p>
      <w:pPr>
        <w:ind w:left="880" w:right="340" w:hanging="332"/>
        <w:spacing w:after="0" w:line="277" w:lineRule="auto"/>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 may be exposed to risks inherent in interest rate fluctuations because some of our borrowings are at variable rates of interest, which would result in higher interest expense in the event of increases in interest rates;</w:t>
      </w:r>
    </w:p>
    <w:p>
      <w:pPr>
        <w:spacing w:after="0" w:line="35" w:lineRule="exact"/>
        <w:rPr>
          <w:rFonts w:ascii="Arial" w:cs="Arial" w:eastAsia="Arial" w:hAnsi="Arial"/>
          <w:sz w:val="18"/>
          <w:szCs w:val="18"/>
          <w:color w:val="auto"/>
        </w:rPr>
      </w:pPr>
    </w:p>
    <w:p>
      <w:pPr>
        <w:ind w:left="880" w:right="760" w:hanging="359"/>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could be vulnerable in the event of a downturn in our business that would leave us less able to take advantage of significant business opportunities and to react to changes in our business and in market or industry conditions; and</w:t>
      </w:r>
    </w:p>
    <w:p>
      <w:pPr>
        <w:spacing w:after="0" w:line="35" w:lineRule="exact"/>
        <w:rPr>
          <w:rFonts w:ascii="Arial" w:cs="Arial" w:eastAsia="Arial" w:hAnsi="Arial"/>
          <w:sz w:val="18"/>
          <w:szCs w:val="18"/>
          <w:color w:val="auto"/>
        </w:rPr>
      </w:pPr>
    </w:p>
    <w:p>
      <w:pPr>
        <w:ind w:left="880" w:right="140" w:hanging="359"/>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should we pursue additional expansions of existing assets or acquisition of third party assets, we may not be able to obtain additional liquidity at cost effective interest rates.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factors could be magnified or accelerated to the extent we were to finance future acquisitions with significant amounts of debt.</w:t>
      </w:r>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To service our indebtedness and fund our capital requirements, we will require a significant amount of cash. Our ability to generate cash depends on many factors beyond our control.</w:t>
      </w:r>
    </w:p>
    <w:p>
      <w:pPr>
        <w:spacing w:after="0" w:line="3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ability to make payments on and to refinance our indebtedness and to fund planned capital expenditures and pay cash dividends will depend on our ability to generate cash in the future, including any distributions that we may receive from Westlake Partners. This is subject to general economic, financial, currency, competitive, legislative, regulatory and other factors that are beyond our control.</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business may not generate sufficient cash flow from operations, we may not receive sufficient distributions from Westlake Partners, currently anticipated cost savings and operating improvements may not be realized on schedule and future borrowings may not be available to us under our credit facility in an amount sufficient to enable us to pay our indebtedness or to fund our other liquidity needs. We also generate revenues denominated in currencies other than that of our indebtedness and may have difficulty converting those revenues into the currency of our indebtedness. We may need to refinance all or a portion of our indebtedness on or before maturity. In addition, we may not be able to refinance any of our indebtedness, including our credit facility and our senior notes, on commercially reasonable terms or at all. All of these factors could be magnified if we were to finance any future acquisitions with significant amounts of debt.</w:t>
      </w:r>
    </w:p>
    <w:p>
      <w:pPr>
        <w:spacing w:after="0" w:line="21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credit facility and the indenture governing our senior notes impose significant operating and financial restrictions, which may prevent us from capitalizing on business opportunities and taking some actions.</w:t>
      </w:r>
    </w:p>
    <w:p>
      <w:pPr>
        <w:spacing w:after="0" w:line="3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Our credit facility and the indenture governing our senior notes impose significant operating and financial restrictions on us. These restrictions limit our ability to:</w:t>
      </w:r>
    </w:p>
    <w:p>
      <w:pPr>
        <w:spacing w:after="0" w:line="35" w:lineRule="exact"/>
        <w:rPr>
          <w:sz w:val="20"/>
          <w:szCs w:val="20"/>
          <w:color w:val="auto"/>
        </w:rPr>
      </w:pPr>
    </w:p>
    <w:p>
      <w:pPr>
        <w:ind w:left="880" w:hanging="35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dividends on, redeem or repurchase our capital stock;</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investments and other restricted payments;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indebtedness or issue preferred stock;</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permit dividend or other payment restrictions on our restricted subsidiaries;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 all or substantially all of our assets or consolidate or merge with or into other companies;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engage in transactions with affiliates;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880" w:hanging="35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sale-leaseback transactions.</w:t>
      </w:r>
    </w:p>
    <w:p>
      <w:pPr>
        <w:spacing w:after="0" w:line="17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These limitations are subject to a number of important qualifications and exceptions. However, the effectiveness of many of these restrictions in the indenture governing our senior notes is currently suspended under the indenture because our senior notes are currently rated investment grade by at least two nationally recognized credit rating agencies.</w:t>
      </w:r>
    </w:p>
    <w:p>
      <w:pPr>
        <w:spacing w:after="0" w:line="12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Our credit facility also requires us to maintain a minimum fixed charge coverage ratio or maintain a specified amount of availability under the credit facility to avoid certain restrictions. These covenants may adversely affect our ability to finance future business opportunities or acquisitions. A breach of any of these covenants could result in a default in respect of the related debt. If a default occurred, the relevant lenders could elect to declare the debt, together with accrued interest and other fees, to be immediately due and payable and proceed against any collateral securing that debt. In addition, any acceleration of debt under our credit facility will constitute a default under some of our other debt, including the indenture governing our senior notes.</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Regulations concerning the transportation of hazardous chemicals and the security of chemical manufacturing facilities could result in higher operating costs.</w:t>
      </w:r>
    </w:p>
    <w:p>
      <w:pPr>
        <w:spacing w:after="0" w:line="35" w:lineRule="exact"/>
        <w:rPr>
          <w:sz w:val="20"/>
          <w:szCs w:val="20"/>
          <w:color w:val="auto"/>
        </w:rPr>
      </w:pPr>
    </w:p>
    <w:p>
      <w:pPr>
        <w:ind w:right="420" w:firstLine="432"/>
        <w:spacing w:after="0" w:line="297" w:lineRule="auto"/>
        <w:rPr>
          <w:sz w:val="20"/>
          <w:szCs w:val="20"/>
          <w:color w:val="auto"/>
        </w:rPr>
      </w:pPr>
      <w:r>
        <w:rPr>
          <w:rFonts w:ascii="Arial" w:cs="Arial" w:eastAsia="Arial" w:hAnsi="Arial"/>
          <w:sz w:val="16"/>
          <w:szCs w:val="16"/>
          <w:color w:val="auto"/>
        </w:rPr>
        <w:t>Targets such as chemical manufacturing facilities may be at greater risk of terrorist attacks than other targets. As a result, the chemical industry responded to the issues surrounding the terrorist attacks of September 11, 2001 by implementing initiatives relating to the security of chemicals industry facilities and the transportation of hazardous chemicals. Simultaneously, local, state, national and international governments put into effect a regulatory process that led to new regulations impacting the security of chemical plant locations and the transportation of hazardous chemicals. Our business or our customers' businesses could be adversely affected because of the cost of complying with these regulations.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difficulties integrating the operations of acquired businesses.</w:t>
      </w:r>
    </w:p>
    <w:p>
      <w:pPr>
        <w:spacing w:after="0" w:line="90"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If we are unable to integrate or to successfully manage businesses that we have acquired or that we may acquire in the future, our business, financial condition and results of operations could be adversely affected. We may not be able to realize the operating efficiencies, synergies, cost savings or other benefits expected from the acquisitions for a number of reasons, including the following:</w:t>
      </w:r>
    </w:p>
    <w:p>
      <w:pPr>
        <w:spacing w:after="0" w:line="46" w:lineRule="exact"/>
        <w:rPr>
          <w:sz w:val="20"/>
          <w:szCs w:val="20"/>
          <w:color w:val="auto"/>
        </w:rPr>
      </w:pPr>
    </w:p>
    <w:p>
      <w:pPr>
        <w:ind w:left="880" w:hanging="35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fail to integrate the businesses we acquire into a cohesive, efficient enterprise;</w:t>
      </w:r>
    </w:p>
    <w:p>
      <w:pPr>
        <w:spacing w:after="0" w:line="90" w:lineRule="exact"/>
        <w:rPr>
          <w:rFonts w:ascii="Arial" w:cs="Arial" w:eastAsia="Arial" w:hAnsi="Arial"/>
          <w:sz w:val="18"/>
          <w:szCs w:val="18"/>
          <w:color w:val="auto"/>
        </w:rPr>
      </w:pPr>
    </w:p>
    <w:p>
      <w:pPr>
        <w:ind w:left="880" w:right="120" w:hanging="359"/>
        <w:spacing w:after="0" w:line="264"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resources, including management resources, are limited and may be strained if we engage in a large acquisition or significant number of acquisitions, and acquisitions may divert our management's attention from initiating or carrying out programs to save costs or enhance revenues; and</w:t>
      </w:r>
    </w:p>
    <w:p>
      <w:pPr>
        <w:spacing w:after="0" w:line="46" w:lineRule="exact"/>
        <w:rPr>
          <w:rFonts w:ascii="Arial" w:cs="Arial" w:eastAsia="Arial" w:hAnsi="Arial"/>
          <w:sz w:val="18"/>
          <w:szCs w:val="18"/>
          <w:color w:val="auto"/>
        </w:rPr>
      </w:pPr>
    </w:p>
    <w:p>
      <w:pPr>
        <w:ind w:left="880" w:hanging="35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failure to retain key employees and contracts of the businesses we acquire.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Future acquisitions could lead to significant restructuring or other changes.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related to "conflict minerals" could adversely impact our business</w:t>
      </w:r>
      <w:r>
        <w:rPr>
          <w:rFonts w:ascii="Arial" w:cs="Arial" w:eastAsia="Arial" w:hAnsi="Arial"/>
          <w:sz w:val="18"/>
          <w:szCs w:val="18"/>
          <w:color w:val="auto"/>
        </w:rPr>
        <w:t>.</w:t>
      </w:r>
    </w:p>
    <w:p>
      <w:pPr>
        <w:spacing w:after="0" w:line="171" w:lineRule="exact"/>
        <w:rPr>
          <w:sz w:val="20"/>
          <w:szCs w:val="20"/>
          <w:color w:val="auto"/>
        </w:rPr>
      </w:pPr>
    </w:p>
    <w:p>
      <w:pPr>
        <w:jc w:val="both"/>
        <w:ind w:right="440" w:firstLine="405"/>
        <w:spacing w:after="0" w:line="312" w:lineRule="auto"/>
        <w:rPr>
          <w:sz w:val="20"/>
          <w:szCs w:val="20"/>
          <w:color w:val="auto"/>
        </w:rPr>
      </w:pPr>
      <w:r>
        <w:rPr>
          <w:rFonts w:ascii="Arial" w:cs="Arial" w:eastAsia="Arial" w:hAnsi="Arial"/>
          <w:sz w:val="16"/>
          <w:szCs w:val="16"/>
          <w:color w:val="auto"/>
        </w:rPr>
        <w:t>The Dodd-Frank Wall Street Reform and Consumer Protection Act of 2010 ("Dodd-Frank Act") contains provisions to improve transparency and accountability concerning the supply of certain minerals, known as conflict minerals, originating from the Democratic Republic of Congo and adjoining countries (collectively, the "Covered Countries"). The term "conflict minerals" encompasses tantalum, tin, tungsten (and their ores) and gold.</w:t>
      </w:r>
    </w:p>
    <w:p>
      <w:pPr>
        <w:spacing w:after="0" w:line="93"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In August 2012, pursuant to the Dodd-Frank Act, the SEC adopted new annual disclosure and reporting requirements applicable to any company that files periodic public reports with the SEC, if any conflicts minerals are necessary to the functionality or production of a product manufactured, or contracted to be manufactured, by that company. These new annual reporting requirements require companies to describe reasonable country of origin inquiries, due diligence measures and the results of those activities and related determinations.</w:t>
      </w:r>
    </w:p>
    <w:p>
      <w:pPr>
        <w:spacing w:after="0" w:line="133"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Because we have a highly complex, multi-layered supply chain, we may incur significant costs to comply with these requirements. In addition, the implementation of procedures to comply with these requirements could adversely affect the sourcing, supply and pricing of materials, including components, used in our products. Our suppliers (or suppliers to our suppliers) may not be able or willing to provide all requested information or to take other steps necessary to ensure that no conflict minerals financing or benefiting armed groups are included in materials or components supplied to us for our manufacturing purposes. Also, we may encounter challenges to satisfy customers that may require all of the components of products purchased by them to be certified as conflict free. If we are not able to meet customer certification requirements, customers may choose to disqualify us as a supplier. In addition, since the applicability of the new conflict minerals requirements is limited to companies that file periodic reports with the SEC, not all of our competitors will need to comply with</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these requirements unless they are imposed by customers. As a result, those competitors may have cost and other advantages over 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could be adversely affected by labor relations.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vast majority of our employees in Europe, and some of our employees in the United States, are represented by labor unions and works councils.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particularly in Europe, may be adversely affected by strikes, work stoppages and other labor disputes.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unfunded pension plan liabilities related to our European operations.</w:t>
      </w:r>
    </w:p>
    <w:p>
      <w:pPr>
        <w:spacing w:after="0" w:line="9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have certain non-U.S. defined benefit pension plans covering current and former employees associated with our European operations that we have not funded and are not obligated to fund under applicable law. As of December 31, 2015, the projected benefit obligation under these plans was approximately $94.8 million. We will require future operating cash flow to fund these pension plan liabilities. We may not generate sufficient cash to satisfy these obligations.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negatively impact us.</w:t>
      </w:r>
    </w:p>
    <w:p>
      <w:pPr>
        <w:spacing w:after="0" w:line="90"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Volatility in the capital and credit markets may cause downward pressure on stock prices and credit availability. The market value of our common stock is a factor in determining whether our goodwill is impaired. If the market value of our common stock declines significantly, it may result in an impairment of goodwill. A decline in the market value of our common stock could also negatively impact us in other ways, including making it more difficult for us to raise any equity capital.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critical data and technology systems could materially affect our operations.</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Information technology system failures, network disruptions and breaches of data security could disrupt our operations by causing delays or cancellation of customer orders, impede the manufacture or shipment of products or cause standard business processes to become ineffective, resulting in the unintentional disclosure of information or damage to our reputation. While we have taken steps to address these concerns by implementing network security and internal control measures, there can be no assurance that a system failure, network disruption or data security breach will not have a material adverse effect on our business, financial condition, operating results or cash flow.</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property insurance has only partial coverage for acts of terrorism and, in the event of terrorist attack, we could lose net sales and our facilities.</w:t>
      </w:r>
    </w:p>
    <w:p>
      <w:pPr>
        <w:spacing w:after="0" w:line="113"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As a result of the terrorist attacks of September 11, 2001 and other events, our insurance carriers created certain exclusions for losses from terrorism from our property insurance policies. While separate terrorism insurance coverage is available, premiums for full coverage are very expensive, especially for chemical facilities, and the policies are subject to high deductibles. Available terrorism coverage typically excludes coverage for losses from acts of war and from acts of foreign governments as well as nuclear, biological and chemical attacks. We have determined that it is not economically prudent to obtain full terrorism insurance, especially given the significant risks that are not covered by such insurance. Where feasible we have secured some limited terrorism insurance coverage on our property where insurers have included it in their overall programs. In the event of a terrorist attack impacting one or more of our facilities, we could lose the net sales from the facilities and the facilities themselves, and could become liable for any contamination or for personal or property damage due to exposure to hazardous materials caused by any catastrophic release that may result from a terrorist attack.</w:t>
      </w:r>
    </w:p>
    <w:p>
      <w:pPr>
        <w:spacing w:after="0" w:line="193"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Westlake Partners' tax treatment depends on its status as a partnership for federal income tax purposes. We depend in part on distributions from Westlake Partners to generate cash for our operations, capital expenditures, debt service and other uses. If the Internal Revenue Service, or IRS, were to treat Westlake Partners as a corporation for federal income tax purposes, its cash available for distribution would be substantially reduced, which would also likely cause a substantial reduction in the value of its common units that we hold. Proposed regulations issued in May 2015 may make it difficult or impossible for Westlake Partners to maintain its status as a partnership after a ten-year transition period.</w:t>
      </w:r>
    </w:p>
    <w:p>
      <w:pPr>
        <w:spacing w:after="0" w:line="23"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color w:val="auto"/>
        </w:rPr>
        <w:t>Despite the fact that Westlake Partners is organized as a limited partnership under Delaware law, it would be treated as a corporation for U.S. federal income tax purposes unless it satisfies a "qualifying income" requirement (the "Qualifying Income Exception") under Section 7704 of the Internal Revenue Code of 1986, as amended (the "Code"). Failing to meet the Qualifying Income Exception would cause Westlake Partners to be treated as a corporation for U.S. federal income tax purposes.</w:t>
      </w:r>
    </w:p>
    <w:p>
      <w:pPr>
        <w:spacing w:after="0" w:line="133"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Prior to its initial public offering, Westlake Partners requested and obtained a favorable private letter ruling from the IRS to the effect that income from the production, transportation, storage and marketing of ethylene and its co-products constitutes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1" w:right="27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"qualifying income" within the meaning of Section 7704 of the Code. Failing to meet the Qualifying Income Exception or a change in current law could cause Westlake Partners to be treated as a corporation for U.S. federal income tax purposes.</w:t>
      </w:r>
    </w:p>
    <w:p>
      <w:pPr>
        <w:spacing w:after="0" w:line="116" w:lineRule="exact"/>
        <w:rPr>
          <w:sz w:val="20"/>
          <w:szCs w:val="20"/>
          <w:color w:val="auto"/>
        </w:rPr>
      </w:pPr>
    </w:p>
    <w:p>
      <w:pPr>
        <w:ind w:right="180" w:firstLine="405"/>
        <w:spacing w:after="0" w:line="269" w:lineRule="auto"/>
        <w:rPr>
          <w:sz w:val="20"/>
          <w:szCs w:val="20"/>
          <w:color w:val="auto"/>
        </w:rPr>
      </w:pPr>
      <w:r>
        <w:rPr>
          <w:rFonts w:ascii="Arial" w:cs="Arial" w:eastAsia="Arial" w:hAnsi="Arial"/>
          <w:sz w:val="17"/>
          <w:szCs w:val="17"/>
          <w:color w:val="auto"/>
        </w:rPr>
        <w:t>On May 5, 2015, the IRS issued proposed regulations (the "Proposed Regulations") regarding qualifying income under Section 7704(d)(1)(E) of the Code. The Proposed Regulations provide industry-specific rules regarding the Qualifying Income Exception, including whether an activity constitutes the processing or refining of a natural resource, which limit the extent to which income generated from the processing and refining of products derived from crude oil and natural gas constitutes qualifying income. In the event the Proposed Regulations become final in their current form and an activity does not satisfy the Qualifying Income Exception standards set forth therein, the Proposed Regulations include a proposed ten-year transition period for partnerships like Westlake Partners, who already received a private letter ruling that the income from that activity was qualifying income. The U.S. Treasury Department and the IRS requested comments from industry participants regarding the standards set forth in the Proposed Regulations. Westlake Partners has timely submitted its comments and has had discussions with the IRS and the U.S. Treasury Department. If the Proposed Regulations become final in their current form, such final regulations would make it difficult or impossible for Westlake Partners to satisfy the Qualifying Income Exception after the proposed ten-year transition period. The market price of Westlake Partners common units may decline significantly following, or in anticipation of, the expiration of any transition period.</w:t>
      </w:r>
    </w:p>
    <w:p>
      <w:pPr>
        <w:spacing w:after="0" w:line="21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We will be controlled by our principal stockholder and its affiliates as long as they own a majority of our common stock, and our other stockholders will be unable to affect the outcome of stockholder voting during that time. Our interests may conflict with those of the principal stockholder and its affiliates, and we may not be able to resolve these conflicts on terms possible in arms-length transactions.</w:t>
      </w:r>
    </w:p>
    <w:p>
      <w:pPr>
        <w:spacing w:after="0" w:line="3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As long as TTWF LP (the "principal stockholder") and its affiliates (the "principal stockholder affiliates") own a majority of our outstanding common stock, they will be able to exert significant control over us, and our other stockholders, by themselves, will not be able to affect the outcome of any stockholder vote. As a result, the principal stockholder, subject to any fiduciary duty owed to our minority stockholders under Delaware law, will be able to control all matters affecting us (some of which may present conflicts of interest), including:</w:t>
      </w:r>
    </w:p>
    <w:p>
      <w:pPr>
        <w:spacing w:after="0" w:line="52" w:lineRule="exact"/>
        <w:rPr>
          <w:sz w:val="20"/>
          <w:szCs w:val="20"/>
          <w:color w:val="auto"/>
        </w:rPr>
      </w:pPr>
    </w:p>
    <w:p>
      <w:pPr>
        <w:ind w:left="880" w:hanging="332"/>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composition of our Board of Directors and, through the Board, any determination with respect to our business direction and policies, including the appointment and removal of officers and the determination of compensation;</w:t>
      </w:r>
    </w:p>
    <w:p>
      <w:pPr>
        <w:spacing w:after="0" w:line="35"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determinations with respect to mergers or other business combinations or the acquisition or disposition of assets;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financing decisions, capital raising activities and the payment of dividends; and</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amendments to our amended and restated certificate of incorporation or amended and restated bylaws.</w:t>
      </w:r>
    </w:p>
    <w:p>
      <w:pPr>
        <w:spacing w:after="0" w:line="171"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principal stockholder will be permitted to transfer a controlling interest in us without being required to offer our other stockholders the ability to participate or realize a premium for their shares of common stock. A sale of a controlling interest to a third party may adversely affect the market price of our common stock and our business and results of operations because the change in control may result in a change of management decisions and business policy. Because we have elected not to be subject to Section 203 of the General Corporation Law of the State of Delaware, the principal stockholder may find it easier to sell its controlling interest to a third party than if we had not so elected.</w:t>
      </w:r>
    </w:p>
    <w:p>
      <w:pPr>
        <w:spacing w:after="0" w:line="13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In addition to any conflicts of interest that arise in the foregoing areas, our interests may conflict with those of the principal stockholder affiliates in a number of other areas, including:</w:t>
      </w:r>
    </w:p>
    <w:p>
      <w:pPr>
        <w:spacing w:after="0" w:line="35" w:lineRule="exact"/>
        <w:rPr>
          <w:sz w:val="20"/>
          <w:szCs w:val="20"/>
          <w:color w:val="auto"/>
        </w:rPr>
      </w:pPr>
    </w:p>
    <w:p>
      <w:pPr>
        <w:ind w:left="880" w:right="180" w:hanging="359"/>
        <w:spacing w:after="0" w:line="308" w:lineRule="auto"/>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business opportunities that may be presented to the principal stockholder affiliates and to our officers and directors associated with the principal stockholder affiliates, and competition between the principal stockholder affiliates and us within the same lines of business;</w:t>
      </w:r>
    </w:p>
    <w:p>
      <w:pPr>
        <w:spacing w:after="0" w:line="11" w:lineRule="exact"/>
        <w:rPr>
          <w:rFonts w:ascii="Arial" w:cs="Arial" w:eastAsia="Arial" w:hAnsi="Arial"/>
          <w:sz w:val="17"/>
          <w:szCs w:val="17"/>
          <w:color w:val="auto"/>
        </w:rPr>
      </w:pPr>
    </w:p>
    <w:p>
      <w:pPr>
        <w:ind w:left="880" w:hanging="35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solicitation and hiring of employees from each other;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agreements with the principal stockholder affiliates relating to corporate services that may be material to our business.</w:t>
      </w:r>
    </w:p>
    <w:p>
      <w:pPr>
        <w:spacing w:after="0" w:line="17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may not be able to resolve any potential conflicts with the principal stockholder affiliates, and even if we do, the resolution may be less favorable than if we were dealing with an unaffiliated party, particularly if the conflicts are resolved while we are controlled by the principal stockholder affiliates. Our amended and restated certificate of incorporation provides that the principal stockholder affiliates have no duty to refrain from engaging in activities or lines of business similar to ours and that the principal stockholder affiliates will not be liable to us or our stockholders for failing to present specified corporate opportunities to us.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 about Forward Looking Statements</w:t>
      </w:r>
    </w:p>
    <w:p>
      <w:pPr>
        <w:spacing w:after="0" w:line="94"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The Private Securities Litigation Reform Act of 1995 provides safe harbor provisions for forward-looking information. Certain of the statements contained in this Form 10-K are forward-looking statements. All statements, other than statements of historical facts, included in this Form 10-K that address activities, events or developments that we expect, project, believe or anticipate will or may occur in the future are forward-looking statements. Forward-looking statements can be identified by the use of words such as "believes," "intends," "may," "should," "could," "anticipates," "expected"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30" w:lineRule="exact"/>
        <w:rPr>
          <w:sz w:val="20"/>
          <w:szCs w:val="20"/>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operating rates, margins, cash flow and demand for our products;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industry market outlook, including the price of crude oil;</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production capacities;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currency devaluation;</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borrow additional funds under our credit facility;</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meet debt obligations under our debt instruments;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intended quarterly dividends;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capacity additions and expansions in the industry;</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funding and results of capital projects, such as the expansion programs at our Lake Charles and Calvert City facilities;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of acquisitions;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health of our customer base;</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pension plan obligations, funding requirements and investment policies;</w:t>
      </w:r>
    </w:p>
    <w:p>
      <w:pPr>
        <w:spacing w:after="0" w:line="90" w:lineRule="exact"/>
        <w:rPr>
          <w:rFonts w:ascii="Arial" w:cs="Arial" w:eastAsia="Arial" w:hAnsi="Arial"/>
          <w:sz w:val="18"/>
          <w:szCs w:val="18"/>
          <w:color w:val="auto"/>
        </w:rPr>
      </w:pPr>
    </w:p>
    <w:p>
      <w:pPr>
        <w:ind w:left="880" w:right="100" w:hanging="359"/>
        <w:spacing w:after="0" w:line="264"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GHG emissions or to address other issues of climate change;</w:t>
      </w:r>
    </w:p>
    <w:p>
      <w:pPr>
        <w:spacing w:after="0" w:line="46" w:lineRule="exact"/>
        <w:rPr>
          <w:rFonts w:ascii="Arial" w:cs="Arial" w:eastAsia="Arial" w:hAnsi="Arial"/>
          <w:sz w:val="18"/>
          <w:szCs w:val="18"/>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effects of pending legal proceedings;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17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have based these statements on assumptions and analyses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While it is not possible to identify all factors, we continue to face many risks and uncertainties. Among the factors that could cause actual future results to differ materially are the risks and uncertainties discussed under "Risk Factors" and those described from time to time in our other filings with the SEC including, but not limited to, the following:</w:t>
      </w:r>
    </w:p>
    <w:p>
      <w:pPr>
        <w:spacing w:after="0" w:line="43" w:lineRule="exact"/>
        <w:rPr>
          <w:sz w:val="20"/>
          <w:szCs w:val="20"/>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90" w:lineRule="exact"/>
        <w:rPr>
          <w:rFonts w:ascii="Arial" w:cs="Arial" w:eastAsia="Arial" w:hAnsi="Arial"/>
          <w:sz w:val="18"/>
          <w:szCs w:val="18"/>
          <w:color w:val="auto"/>
        </w:rPr>
      </w:pPr>
    </w:p>
    <w:p>
      <w:pPr>
        <w:ind w:left="880" w:right="280" w:hanging="359"/>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uncertainties associated with the United States, European and worldwide economies, including those due to political tensions and unrest in the Middle East, the Commonwealth of Independent States (including Ukraine) and elsewhere;</w:t>
      </w:r>
    </w:p>
    <w:p>
      <w:pPr>
        <w:spacing w:after="0" w:line="35" w:lineRule="exact"/>
        <w:rPr>
          <w:rFonts w:ascii="Arial" w:cs="Arial" w:eastAsia="Arial" w:hAnsi="Arial"/>
          <w:sz w:val="18"/>
          <w:szCs w:val="18"/>
          <w:color w:val="auto"/>
        </w:rPr>
      </w:pPr>
    </w:p>
    <w:p>
      <w:pPr>
        <w:ind w:left="880" w:right="240" w:hanging="359"/>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current and potential governmental regulatory actions in the United States, Europe and Asia and regulatory actions and political unrest in other areas;</w:t>
      </w:r>
    </w:p>
    <w:p>
      <w:pPr>
        <w:spacing w:after="0" w:line="35" w:lineRule="exact"/>
        <w:rPr>
          <w:rFonts w:ascii="Arial" w:cs="Arial" w:eastAsia="Arial" w:hAnsi="Arial"/>
          <w:sz w:val="18"/>
          <w:szCs w:val="18"/>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supply/demand balance for our products;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90" w:lineRule="exact"/>
        <w:rPr>
          <w:rFonts w:ascii="Arial" w:cs="Arial" w:eastAsia="Arial" w:hAnsi="Arial"/>
          <w:sz w:val="18"/>
          <w:szCs w:val="18"/>
          <w:color w:val="auto"/>
        </w:rPr>
      </w:pPr>
    </w:p>
    <w:p>
      <w:pPr>
        <w:ind w:left="880" w:right="20" w:hanging="359"/>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35"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17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Many of such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manufacturing facilities and principal products are set forth below. Except as noted, we own each of these facilities.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EEFF"/>
            </w:tcBorders>
          </w:tcPr>
          <w:p>
            <w:pPr>
              <w:spacing w:after="0"/>
              <w:rPr>
                <w:sz w:val="16"/>
                <w:szCs w:val="16"/>
                <w:color w:val="auto"/>
              </w:rPr>
            </w:pPr>
          </w:p>
        </w:tc>
        <w:tc>
          <w:tcPr>
            <w:tcW w:w="6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Principal Products</w:t>
            </w: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Lake Charles, Louisiana</w:t>
            </w:r>
          </w:p>
        </w:tc>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Ethylene, polyethylene, styrene</w:t>
            </w:r>
          </w:p>
        </w:tc>
      </w:tr>
      <w:tr>
        <w:trPr>
          <w:trHeight w:val="270"/>
        </w:trPr>
        <w:tc>
          <w:tcPr>
            <w:tcW w:w="53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Longview, Texas </w:t>
            </w:r>
            <w:r>
              <w:rPr>
                <w:rFonts w:ascii="Arial" w:cs="Arial" w:eastAsia="Arial" w:hAnsi="Arial"/>
                <w:sz w:val="25"/>
                <w:szCs w:val="25"/>
                <w:color w:val="auto"/>
                <w:vertAlign w:val="superscript"/>
              </w:rPr>
              <w:t>(1)</w:t>
            </w:r>
          </w:p>
        </w:tc>
        <w:tc>
          <w:tcPr>
            <w:tcW w:w="6040" w:type="dxa"/>
            <w:vAlign w:val="bottom"/>
          </w:tcPr>
          <w:p>
            <w:pPr>
              <w:ind w:left="40"/>
              <w:spacing w:after="0"/>
              <w:rPr>
                <w:sz w:val="20"/>
                <w:szCs w:val="20"/>
                <w:color w:val="auto"/>
              </w:rPr>
            </w:pPr>
            <w:r>
              <w:rPr>
                <w:rFonts w:ascii="Arial" w:cs="Arial" w:eastAsia="Arial" w:hAnsi="Arial"/>
                <w:sz w:val="18"/>
                <w:szCs w:val="18"/>
                <w:color w:val="auto"/>
              </w:rPr>
              <w:t>Polyethylene, polyethylene wax</w:t>
            </w:r>
          </w:p>
        </w:tc>
      </w:tr>
      <w:tr>
        <w:trPr>
          <w:trHeight w:val="270"/>
        </w:trPr>
        <w:tc>
          <w:tcPr>
            <w:tcW w:w="53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Calvert City, Kentucky </w:t>
            </w:r>
            <w:r>
              <w:rPr>
                <w:rFonts w:ascii="Arial" w:cs="Arial" w:eastAsia="Arial" w:hAnsi="Arial"/>
                <w:sz w:val="25"/>
                <w:szCs w:val="25"/>
                <w:color w:val="auto"/>
                <w:vertAlign w:val="superscript"/>
              </w:rPr>
              <w:t>(2)</w:t>
            </w: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PVC, VCM, EDC, chlorine, caustic soda, ethylene</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Geismar, Louisiana</w:t>
            </w:r>
          </w:p>
        </w:tc>
        <w:tc>
          <w:tcPr>
            <w:tcW w:w="6040" w:type="dxa"/>
            <w:vAlign w:val="bottom"/>
          </w:tcPr>
          <w:p>
            <w:pPr>
              <w:ind w:left="40"/>
              <w:spacing w:after="0"/>
              <w:rPr>
                <w:sz w:val="20"/>
                <w:szCs w:val="20"/>
                <w:color w:val="auto"/>
              </w:rPr>
            </w:pPr>
            <w:r>
              <w:rPr>
                <w:rFonts w:ascii="Arial" w:cs="Arial" w:eastAsia="Arial" w:hAnsi="Arial"/>
                <w:sz w:val="18"/>
                <w:szCs w:val="18"/>
                <w:color w:val="auto"/>
              </w:rPr>
              <w:t>PVC, VCM, EDC, chlorine, caustic soda</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70"/>
        </w:trPr>
        <w:tc>
          <w:tcPr>
            <w:tcW w:w="53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Gendorf, Bavaria, Germany </w:t>
            </w:r>
            <w:r>
              <w:rPr>
                <w:rFonts w:ascii="Arial" w:cs="Arial" w:eastAsia="Arial" w:hAnsi="Arial"/>
                <w:sz w:val="25"/>
                <w:szCs w:val="25"/>
                <w:color w:val="auto"/>
                <w:vertAlign w:val="superscript"/>
              </w:rPr>
              <w:t>(1)</w:t>
            </w: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PVC, VCM, EDC, chlorine, caustic soda</w:t>
            </w:r>
          </w:p>
        </w:tc>
      </w:tr>
      <w:tr>
        <w:trPr>
          <w:trHeight w:val="270"/>
        </w:trPr>
        <w:tc>
          <w:tcPr>
            <w:tcW w:w="53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Burghausen, Bavaria, Germany </w:t>
            </w:r>
            <w:r>
              <w:rPr>
                <w:rFonts w:ascii="Arial" w:cs="Arial" w:eastAsia="Arial" w:hAnsi="Arial"/>
                <w:sz w:val="25"/>
                <w:szCs w:val="25"/>
                <w:color w:val="auto"/>
                <w:vertAlign w:val="superscript"/>
              </w:rPr>
              <w:t>(1)</w:t>
            </w:r>
          </w:p>
        </w:tc>
        <w:tc>
          <w:tcPr>
            <w:tcW w:w="6040" w:type="dxa"/>
            <w:vAlign w:val="bottom"/>
          </w:tcPr>
          <w:p>
            <w:pPr>
              <w:ind w:left="40"/>
              <w:spacing w:after="0"/>
              <w:rPr>
                <w:sz w:val="20"/>
                <w:szCs w:val="20"/>
                <w:color w:val="auto"/>
              </w:rPr>
            </w:pPr>
            <w:r>
              <w:rPr>
                <w:rFonts w:ascii="Arial" w:cs="Arial" w:eastAsia="Arial" w:hAnsi="Arial"/>
                <w:sz w:val="18"/>
                <w:szCs w:val="18"/>
                <w:color w:val="auto"/>
              </w:rPr>
              <w:t>PVC</w:t>
            </w:r>
          </w:p>
        </w:tc>
      </w:tr>
      <w:tr>
        <w:trPr>
          <w:trHeight w:val="270"/>
        </w:trPr>
        <w:tc>
          <w:tcPr>
            <w:tcW w:w="53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Knapsack, North Rhine-Westphalia, Germany </w:t>
            </w:r>
            <w:r>
              <w:rPr>
                <w:rFonts w:ascii="Arial" w:cs="Arial" w:eastAsia="Arial" w:hAnsi="Arial"/>
                <w:sz w:val="25"/>
                <w:szCs w:val="25"/>
                <w:color w:val="auto"/>
                <w:vertAlign w:val="superscript"/>
              </w:rPr>
              <w:t>(1)</w:t>
            </w: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PVC, VCM, EDC, chlorine, caustic soda</w:t>
            </w:r>
          </w:p>
        </w:tc>
      </w:tr>
      <w:tr>
        <w:trPr>
          <w:trHeight w:val="270"/>
        </w:trPr>
        <w:tc>
          <w:tcPr>
            <w:tcW w:w="53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Cologne, North Rhine-Westphalia, Germany </w:t>
            </w:r>
            <w:r>
              <w:rPr>
                <w:rFonts w:ascii="Arial" w:cs="Arial" w:eastAsia="Arial" w:hAnsi="Arial"/>
                <w:sz w:val="25"/>
                <w:szCs w:val="25"/>
                <w:color w:val="auto"/>
                <w:vertAlign w:val="superscript"/>
              </w:rPr>
              <w:t>(1)</w:t>
            </w:r>
          </w:p>
        </w:tc>
        <w:tc>
          <w:tcPr>
            <w:tcW w:w="6040" w:type="dxa"/>
            <w:vAlign w:val="bottom"/>
          </w:tcPr>
          <w:p>
            <w:pPr>
              <w:ind w:left="40"/>
              <w:spacing w:after="0"/>
              <w:rPr>
                <w:sz w:val="20"/>
                <w:szCs w:val="20"/>
                <w:color w:val="auto"/>
              </w:rPr>
            </w:pPr>
            <w:r>
              <w:rPr>
                <w:rFonts w:ascii="Arial" w:cs="Arial" w:eastAsia="Arial" w:hAnsi="Arial"/>
                <w:sz w:val="18"/>
                <w:szCs w:val="18"/>
                <w:color w:val="auto"/>
              </w:rPr>
              <w:t>PVC</w:t>
            </w:r>
          </w:p>
        </w:tc>
      </w:tr>
      <w:tr>
        <w:trPr>
          <w:trHeight w:val="270"/>
        </w:trPr>
        <w:tc>
          <w:tcPr>
            <w:tcW w:w="53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Schkopau, Saxony-Anhalt, Germany </w:t>
            </w:r>
            <w:r>
              <w:rPr>
                <w:rFonts w:ascii="Arial" w:cs="Arial" w:eastAsia="Arial" w:hAnsi="Arial"/>
                <w:sz w:val="25"/>
                <w:szCs w:val="25"/>
                <w:color w:val="auto"/>
                <w:vertAlign w:val="superscript"/>
              </w:rPr>
              <w:t>(1)</w:t>
            </w: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PVC</w:t>
            </w:r>
          </w:p>
        </w:tc>
      </w:tr>
      <w:tr>
        <w:trPr>
          <w:trHeight w:val="270"/>
        </w:trPr>
        <w:tc>
          <w:tcPr>
            <w:tcW w:w="53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Hillhouse, Lancashire, United Kingdom </w:t>
            </w:r>
            <w:r>
              <w:rPr>
                <w:rFonts w:ascii="Arial" w:cs="Arial" w:eastAsia="Arial" w:hAnsi="Arial"/>
                <w:sz w:val="25"/>
                <w:szCs w:val="25"/>
                <w:color w:val="auto"/>
                <w:vertAlign w:val="superscript"/>
              </w:rPr>
              <w:t>(1)</w:t>
            </w:r>
          </w:p>
        </w:tc>
        <w:tc>
          <w:tcPr>
            <w:tcW w:w="6040" w:type="dxa"/>
            <w:vAlign w:val="bottom"/>
          </w:tcPr>
          <w:p>
            <w:pPr>
              <w:ind w:left="40"/>
              <w:spacing w:after="0"/>
              <w:rPr>
                <w:sz w:val="20"/>
                <w:szCs w:val="20"/>
                <w:color w:val="auto"/>
              </w:rPr>
            </w:pPr>
            <w:r>
              <w:rPr>
                <w:rFonts w:ascii="Arial" w:cs="Arial" w:eastAsia="Arial" w:hAnsi="Arial"/>
                <w:sz w:val="18"/>
                <w:szCs w:val="18"/>
                <w:color w:val="auto"/>
              </w:rPr>
              <w:t>PVC</w:t>
            </w:r>
          </w:p>
        </w:tc>
      </w:tr>
      <w:tr>
        <w:trPr>
          <w:trHeight w:val="270"/>
        </w:trPr>
        <w:tc>
          <w:tcPr>
            <w:tcW w:w="53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Suzhou, Jiangsu, in the People's Republic of China </w:t>
            </w:r>
            <w:r>
              <w:rPr>
                <w:rFonts w:ascii="Arial" w:cs="Arial" w:eastAsia="Arial" w:hAnsi="Arial"/>
                <w:sz w:val="25"/>
                <w:szCs w:val="25"/>
                <w:color w:val="auto"/>
                <w:vertAlign w:val="superscript"/>
              </w:rPr>
              <w:t>(1)</w:t>
            </w: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PVC, PVC film and sheet</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Booneville, Mississippi</w:t>
            </w:r>
          </w:p>
        </w:tc>
        <w:tc>
          <w:tcPr>
            <w:tcW w:w="6040" w:type="dxa"/>
            <w:vAlign w:val="bottom"/>
          </w:tcPr>
          <w:p>
            <w:pPr>
              <w:ind w:left="40"/>
              <w:spacing w:after="0"/>
              <w:rPr>
                <w:sz w:val="20"/>
                <w:szCs w:val="20"/>
                <w:color w:val="auto"/>
              </w:rPr>
            </w:pPr>
            <w:r>
              <w:rPr>
                <w:rFonts w:ascii="Arial" w:cs="Arial" w:eastAsia="Arial" w:hAnsi="Arial"/>
                <w:sz w:val="18"/>
                <w:szCs w:val="18"/>
                <w:color w:val="auto"/>
              </w:rPr>
              <w:t>PVC pipe</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Greensboro, Georgia</w:t>
            </w:r>
          </w:p>
        </w:tc>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PVC pipe</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Janesville, Wisconsin</w:t>
            </w:r>
          </w:p>
        </w:tc>
        <w:tc>
          <w:tcPr>
            <w:tcW w:w="6040" w:type="dxa"/>
            <w:vAlign w:val="bottom"/>
          </w:tcPr>
          <w:p>
            <w:pPr>
              <w:ind w:left="40"/>
              <w:spacing w:after="0"/>
              <w:rPr>
                <w:sz w:val="20"/>
                <w:szCs w:val="20"/>
                <w:color w:val="auto"/>
              </w:rPr>
            </w:pPr>
            <w:r>
              <w:rPr>
                <w:rFonts w:ascii="Arial" w:cs="Arial" w:eastAsia="Arial" w:hAnsi="Arial"/>
                <w:sz w:val="18"/>
                <w:szCs w:val="18"/>
                <w:color w:val="auto"/>
              </w:rPr>
              <w:t>PVC pipe</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Leola, Pennsylvania</w:t>
            </w:r>
          </w:p>
        </w:tc>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PVC pipe</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Wichita Falls, Texas</w:t>
            </w:r>
          </w:p>
        </w:tc>
        <w:tc>
          <w:tcPr>
            <w:tcW w:w="6040" w:type="dxa"/>
            <w:vAlign w:val="bottom"/>
          </w:tcPr>
          <w:p>
            <w:pPr>
              <w:ind w:left="40"/>
              <w:spacing w:after="0"/>
              <w:rPr>
                <w:sz w:val="20"/>
                <w:szCs w:val="20"/>
                <w:color w:val="auto"/>
              </w:rPr>
            </w:pPr>
            <w:r>
              <w:rPr>
                <w:rFonts w:ascii="Arial" w:cs="Arial" w:eastAsia="Arial" w:hAnsi="Arial"/>
                <w:sz w:val="18"/>
                <w:szCs w:val="18"/>
                <w:color w:val="auto"/>
              </w:rPr>
              <w:t>PVC pipe</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Yucca, Arizona</w:t>
            </w:r>
          </w:p>
        </w:tc>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PVC pipe</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Lodi, California</w:t>
            </w:r>
          </w:p>
        </w:tc>
        <w:tc>
          <w:tcPr>
            <w:tcW w:w="6040" w:type="dxa"/>
            <w:vAlign w:val="bottom"/>
          </w:tcPr>
          <w:p>
            <w:pPr>
              <w:ind w:left="40"/>
              <w:spacing w:after="0"/>
              <w:rPr>
                <w:sz w:val="20"/>
                <w:szCs w:val="20"/>
                <w:color w:val="auto"/>
              </w:rPr>
            </w:pPr>
            <w:r>
              <w:rPr>
                <w:rFonts w:ascii="Arial" w:cs="Arial" w:eastAsia="Arial" w:hAnsi="Arial"/>
                <w:sz w:val="18"/>
                <w:szCs w:val="18"/>
                <w:color w:val="auto"/>
              </w:rPr>
              <w:t>PVC pipe and fittings</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McPherson, Kansas</w:t>
            </w:r>
          </w:p>
        </w:tc>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PVC pipe and fittings</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Evansville, Indiana</w:t>
            </w:r>
          </w:p>
        </w:tc>
        <w:tc>
          <w:tcPr>
            <w:tcW w:w="6040" w:type="dxa"/>
            <w:vAlign w:val="bottom"/>
          </w:tcPr>
          <w:p>
            <w:pPr>
              <w:ind w:left="40"/>
              <w:spacing w:after="0"/>
              <w:rPr>
                <w:sz w:val="20"/>
                <w:szCs w:val="20"/>
                <w:color w:val="auto"/>
              </w:rPr>
            </w:pPr>
            <w:r>
              <w:rPr>
                <w:rFonts w:ascii="Arial" w:cs="Arial" w:eastAsia="Arial" w:hAnsi="Arial"/>
                <w:sz w:val="18"/>
                <w:szCs w:val="18"/>
                <w:color w:val="auto"/>
              </w:rPr>
              <w:t>Fence and deck components</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70"/>
        </w:trPr>
        <w:tc>
          <w:tcPr>
            <w:tcW w:w="53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Calgary, Alberta, Canada </w:t>
            </w:r>
            <w:r>
              <w:rPr>
                <w:rFonts w:ascii="Arial" w:cs="Arial" w:eastAsia="Arial" w:hAnsi="Arial"/>
                <w:sz w:val="25"/>
                <w:szCs w:val="25"/>
                <w:color w:val="auto"/>
                <w:vertAlign w:val="superscript"/>
              </w:rPr>
              <w:t>(3)</w:t>
            </w: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Window and door components</w:t>
            </w:r>
          </w:p>
        </w:tc>
      </w:tr>
      <w:tr>
        <w:trPr>
          <w:trHeight w:val="248"/>
        </w:trPr>
        <w:tc>
          <w:tcPr>
            <w:tcW w:w="526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120" w:type="dxa"/>
            <w:vAlign w:val="bottom"/>
          </w:tcPr>
          <w:p>
            <w:pPr>
              <w:spacing w:after="0"/>
              <w:rPr>
                <w:sz w:val="21"/>
                <w:szCs w:val="21"/>
                <w:color w:val="auto"/>
              </w:rPr>
            </w:pPr>
          </w:p>
        </w:tc>
        <w:tc>
          <w:tcPr>
            <w:tcW w:w="6040" w:type="dxa"/>
            <w:vAlign w:val="bottom"/>
          </w:tcPr>
          <w:p>
            <w:pPr>
              <w:spacing w:after="0"/>
              <w:rPr>
                <w:sz w:val="21"/>
                <w:szCs w:val="21"/>
                <w:color w:val="auto"/>
              </w:rPr>
            </w:pPr>
          </w:p>
        </w:tc>
      </w:tr>
    </w:tbl>
    <w:p>
      <w:pPr>
        <w:spacing w:after="0" w:line="89" w:lineRule="exact"/>
        <w:rPr>
          <w:sz w:val="20"/>
          <w:szCs w:val="20"/>
          <w:color w:val="auto"/>
        </w:rPr>
      </w:pPr>
    </w:p>
    <w:p>
      <w:pPr>
        <w:ind w:left="460" w:hanging="438"/>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lease the land on which our facilities are located. The Suzhou facility is our 95% owned Asian joint venture.</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left="460" w:hanging="438"/>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lease a portion of the land on which our Calvert City facility is located.</w:t>
      </w:r>
    </w:p>
    <w:p>
      <w:pPr>
        <w:spacing w:after="0" w:line="63" w:lineRule="exact"/>
        <w:rPr>
          <w:rFonts w:ascii="Arial" w:cs="Arial" w:eastAsia="Arial" w:hAnsi="Arial"/>
          <w:sz w:val="18"/>
          <w:szCs w:val="18"/>
          <w:color w:val="auto"/>
        </w:rPr>
      </w:pPr>
    </w:p>
    <w:p>
      <w:pPr>
        <w:ind w:left="460" w:hanging="438"/>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lease our Calgary land and building.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Olefins</w:t>
      </w:r>
    </w:p>
    <w:p>
      <w:pPr>
        <w:spacing w:after="0" w:line="9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Lake Charles site consists of three tracts on approximately 1,700 acres in Lake Charles, each within three miles of one another. The site includes two ethylene plants, which are owned by OpCo, two polyethylene plants and a styrene monomer plant. The combined capacity of OpCo's two Lake Charles ethylene plants is approximately 2.7 billion pounds per year. The capacity of our two polyethylene plants is approximately 1.5 billion pounds per year and the capacity of our styrene plant is approximately 570 million pounds per year. One of our polyethylene plants has two production units that use gas phase technology with the capability to manufacture both LLDPE and HDPE. OpCo currently plans to begin the upgrade and capacity expansion of its Petro 1 ethylene unit at our Lake Charles site in the second quarter of 2016.</w:t>
      </w:r>
    </w:p>
    <w:p>
      <w:pPr>
        <w:spacing w:after="0" w:line="13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Lake Charles site includes a marine terminal that provides for worldwide shipping capabilities. The site also is located near rail transportation facilities, which allows for efficient delivery of raw materials and prompt shipment of our products to customers. In addition, the site is connected by pipeline systems to our ethylene feedstock sources in both Texas and Louisiana. Within the site, OpCo's ethylene plants are connected by pipeline systems to our polyethylene and styrene plants.</w:t>
      </w:r>
    </w:p>
    <w:p>
      <w:pPr>
        <w:spacing w:after="0" w:line="13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Longview site consists of three polyethylene plants, a specialty polyethylene wax plant, and a 200-mile ethylene pipeline owned by OpCo that runs from Mont Belvieu to our Longview site. The plants are located inside a large Eastman Chemical Company ("Eastman") facility where Eastman produces a number of other chemical products. We can access ethylene to support our polyethylene operations either by purchasing ethylene from Eastman at the site or by transporting ethylene from OpCo's Lake Charles plant into the Gulf Coast grid and by transporting ethylene through our ethylene pipeline into our Longview facility. The technologies we use to produce polyethylene at Longview are similar to the technologies that we employ at Lake Charles. The Longview facility has a total capacity of 1.1 billion pounds per year.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Vinyls</w:t>
      </w:r>
    </w:p>
    <w:p>
      <w:pPr>
        <w:spacing w:after="0" w:line="9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Our Calvert City site is situated on approximately 750 acres on the Tennessee River in Kentucky and includes an ethylene plant, which is owned by OpCo, a chlor-alkali plant, a VCM plant and a PVC plant. The capacity of OpCo's Calvert City ethylene plant is 630 million pounds per year and the capacity of our chlor-alkali plant is 550 million pounds of chlorine and 605 million pounds of caustic soda per year. Our chlorine plant utilizes efficient, state-of-the-art membrane technology. Our VCM plant has a capacity of 1.3 billion pounds per year and our Calvert City PVC plant has a capacity of 1.3 billion pounds per year. In January 2016, OpCo announced an expansion project to increase the ethylene capacity of its ethylene plant at our Calvert City facility. The expansion is expected to increase ethylene capacity by approximately 70 million pounds annually and is targeted for completion during the first half of 2017. Combined with other incremental capacity increases, the total ethylene capacity of OpCo's ethylene plant is expected to increase to 730 million pounds annually at the completion of this project.</w:t>
      </w:r>
    </w:p>
    <w:p>
      <w:pPr>
        <w:spacing w:after="0" w:line="138"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Our vinyls facility in Geismar is situated on 184 acres on the Mississippi River and includes a chlor-alkali plant, a VCM plant and a PVC plant. Our Geismar chlor-alkali plant is designed to produce up to 700 million pounds of chlorine and 770 million pounds of caustic soda per year. Our chlorine plant utilizes efficient, state-of-the-art membrane technology. Our Geismar VCM plant has a capacity of 550 million pounds per year, and our Geismar PVC plant has a capacity of 600 million pounds per year.</w:t>
      </w:r>
    </w:p>
    <w:p>
      <w:pPr>
        <w:spacing w:after="0" w:line="133"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Our European vinyls manufacturing sites consist of five facilities in Germany and one facility in the United Kingdom, and include two state-of-the-art membrane chlor-alkali plants, two VCM plants and six PVC plants. The chlor-alkali plants have a combined capacity of 950 million pounds of chlorine and 1.0 billion pounds of caustic soda per year, the VCM plants have a combined capacity of 1.5 billion pounds per year and the PVC plants have a combined capacity of 1.7 billion pounds per year.</w:t>
      </w:r>
    </w:p>
    <w:p>
      <w:pPr>
        <w:spacing w:after="0" w:line="133"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Our Asian vinyls manufacturing site is located near Shanghai, in the People's Republic of China and includes a PVC plant and a PVC film and sheet plant. The PVC plant has a capacity of 300 million pounds per year.</w:t>
      </w:r>
    </w:p>
    <w:p>
      <w:pPr>
        <w:spacing w:after="0" w:line="116"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As of February 17, 2016, we owned 11 building products plants, consisting of eight PVC pipe plants, two profile plants producing PVC fence, decking, windows and door profiles and one film and sheet plant. The majority of our plants are strategically located near major markets and serve customers throughout the United States, Canada and Asia. The combined capacity of our building product plants is 1.3 billion pounds per year.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We believe our current facilities and announced expansions are adequate to meet the requirements of our present and foreseeable future operations.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Headquarters</w:t>
      </w:r>
    </w:p>
    <w:p>
      <w:pPr>
        <w:spacing w:after="0" w:line="90" w:lineRule="exact"/>
        <w:rPr>
          <w:sz w:val="20"/>
          <w:szCs w:val="20"/>
          <w:color w:val="auto"/>
        </w:rPr>
      </w:pPr>
    </w:p>
    <w:p>
      <w:pPr>
        <w:jc w:val="both"/>
        <w:ind w:right="60" w:firstLine="432"/>
        <w:spacing w:after="0" w:line="312" w:lineRule="auto"/>
        <w:rPr>
          <w:sz w:val="20"/>
          <w:szCs w:val="20"/>
          <w:color w:val="auto"/>
        </w:rPr>
      </w:pPr>
      <w:r>
        <w:rPr>
          <w:rFonts w:ascii="Arial" w:cs="Arial" w:eastAsia="Arial" w:hAnsi="Arial"/>
          <w:sz w:val="16"/>
          <w:szCs w:val="16"/>
          <w:color w:val="auto"/>
        </w:rPr>
        <w:t>Our principal executive offices are located in Houston, Texas. Our office space is leased, at market rates, from an affiliate of our principal stockholder. See Note 18 to the audited consolidated financial statements appearing elsewhere in this Form 10-K and "Certain Relationships and Related Transactions" in our proxy statement to be filed with the SEC pursuant to Regulation 14A with respect to our 2016 annual meeting of stockholders (the "Proxy Statement").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 addition to the matters described under Item 1, "Business—Environmental and Other Regulation," we are involved in various legal proceedings incidental to the conduct of our business. We do not believe that any of these legal proceedings will have a material adverse effect on our financial condition, results of operations or cash flows.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4"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i w:val="1"/>
          <w:iCs w:val="1"/>
          <w:color w:val="auto"/>
        </w:rPr>
        <w:t xml:space="preserve">James Chao </w:t>
      </w:r>
      <w:r>
        <w:rPr>
          <w:rFonts w:ascii="Arial" w:cs="Arial" w:eastAsia="Arial" w:hAnsi="Arial"/>
          <w:sz w:val="16"/>
          <w:szCs w:val="16"/>
          <w:color w:val="auto"/>
        </w:rPr>
        <w:t>(age 68)</w:t>
      </w:r>
      <w:r>
        <w:rPr>
          <w:rFonts w:ascii="Arial" w:cs="Arial" w:eastAsia="Arial" w:hAnsi="Arial"/>
          <w:sz w:val="16"/>
          <w:szCs w:val="16"/>
          <w:i w:val="1"/>
          <w:iCs w:val="1"/>
          <w:color w:val="auto"/>
        </w:rPr>
        <w:t xml:space="preserve">. </w:t>
      </w:r>
      <w:r>
        <w:rPr>
          <w:rFonts w:ascii="Arial" w:cs="Arial" w:eastAsia="Arial" w:hAnsi="Arial"/>
          <w:sz w:val="16"/>
          <w:szCs w:val="16"/>
          <w:color w:val="auto"/>
        </w:rPr>
        <w:t>Mr. Chao has been our Chairman of the Board of Directors since July 2004 and became a director in June 2003. From May 1996</w:t>
      </w:r>
      <w:r>
        <w:rPr>
          <w:rFonts w:ascii="Arial" w:cs="Arial" w:eastAsia="Arial" w:hAnsi="Arial"/>
          <w:sz w:val="16"/>
          <w:szCs w:val="16"/>
          <w:i w:val="1"/>
          <w:iCs w:val="1"/>
          <w:color w:val="auto"/>
        </w:rPr>
        <w:t xml:space="preserve"> </w:t>
      </w:r>
      <w:r>
        <w:rPr>
          <w:rFonts w:ascii="Arial" w:cs="Arial" w:eastAsia="Arial" w:hAnsi="Arial"/>
          <w:sz w:val="16"/>
          <w:szCs w:val="16"/>
          <w:color w:val="auto"/>
        </w:rPr>
        <w:t>to July 2004, he served as our Vice Chairman. Mr. Chao also has responsibility for the oversight of our Vinyls business. Mr. Chao has over 45 years of global experience in the chemical industry. In addition, Mr. Chao has been the Chairman of the Board of Westlake Partners' general partner since its formation in March 2014. From June 2003 until November 2010, Mr. Chao was the executive chairman of Titan Chemicals Corp. Bhd. He has served as a Special Assistant to the Chairman of China General Plastics Group and worked in various financial, managerial and technical positions at Mattel Incorporated, Developmental Bank of Singapore, Singapore Gulf Plastics Pte. Ltd. and Gulf Oil Corporation. Mr. Chao, along with his brother Albert Chao, assisted their father T.T. Chao in founding Westlake Chemical Corporation. Mr. Chao is on the board of Baylor College of Medicine and KIPP (Knowledge Is Power Program). Mr. Chao received his B.S. degree from Massachusetts Institute of Technology and an M.B.A. from Columbia University.</w:t>
      </w:r>
    </w:p>
    <w:p>
      <w:pPr>
        <w:spacing w:after="0" w:line="112"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i w:val="1"/>
          <w:iCs w:val="1"/>
          <w:color w:val="auto"/>
        </w:rPr>
        <w:t xml:space="preserve">Albert Chao </w:t>
      </w:r>
      <w:r>
        <w:rPr>
          <w:rFonts w:ascii="Arial" w:cs="Arial" w:eastAsia="Arial" w:hAnsi="Arial"/>
          <w:sz w:val="18"/>
          <w:szCs w:val="18"/>
          <w:color w:val="auto"/>
        </w:rPr>
        <w:t>(age 66)</w:t>
      </w:r>
      <w:r>
        <w:rPr>
          <w:rFonts w:ascii="Arial" w:cs="Arial" w:eastAsia="Arial" w:hAnsi="Arial"/>
          <w:sz w:val="18"/>
          <w:szCs w:val="18"/>
          <w:i w:val="1"/>
          <w:iCs w:val="1"/>
          <w:color w:val="auto"/>
        </w:rPr>
        <w:t xml:space="preserve">. </w:t>
      </w:r>
      <w:r>
        <w:rPr>
          <w:rFonts w:ascii="Arial" w:cs="Arial" w:eastAsia="Arial" w:hAnsi="Arial"/>
          <w:sz w:val="18"/>
          <w:szCs w:val="18"/>
          <w:color w:val="auto"/>
        </w:rPr>
        <w:t>Mr. Chao has been our President since May 1996 and a director since June 2003. Mr. Chao became our Chief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in July 2004. Mr. Chao has over 40 years of global experience in the chemical industry. In 1985, Mr. Chao assisted his father T.T. Chao and his brother James Chao in founding Westlake Chemical Corporation, where he served as Executive Vice President until he succeeded James Chao as President. In addition, Mr. Chao has been the President, Chief Executive Officer and a director of Westlake Partners' general partner since its formation in March 2014. He has held positions in the Controller's Group of Mobil Oil Corporation, in the Technical Department of Hercules Incorporated, in the Plastics Group of Gulf Oil Corporation and has served as Assistant to the Chairman of China General Plastics Group and Deputy Managing Director of a plastics fabrication business in Singapore. Mr. Chao is a trustee of Rice University. Mr. Chao received a bachelor's degree from Brandeis University and an M.B.A. from Columbia University.</w:t>
      </w:r>
    </w:p>
    <w:p>
      <w:pPr>
        <w:spacing w:after="0" w:line="138"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i w:val="1"/>
          <w:iCs w:val="1"/>
          <w:color w:val="auto"/>
        </w:rPr>
        <w:t xml:space="preserve">M. Steven Bender </w:t>
      </w:r>
      <w:r>
        <w:rPr>
          <w:rFonts w:ascii="Arial" w:cs="Arial" w:eastAsia="Arial" w:hAnsi="Arial"/>
          <w:sz w:val="17"/>
          <w:szCs w:val="17"/>
          <w:color w:val="auto"/>
        </w:rPr>
        <w:t>(age 59). Mr. Bender has been our Senior Vice President, Chief Financial Officer and Treasurer since February 2008. From</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2007 to February 2008, Mr. Bender served as our Vice President, Chief Financial Officer and Treasurer and from June 2005 to February 2007, he served as our Vice President and Treasurer. In addition, Mr. Bender has been the Senior Vice President, Chief Financial Officer and a director of Westlake Partners' general partner since its formation in March 2014, and its Treasurer since April 2015. From June 2002 until June 2005, Mr. Bender served as Vice President and Treasurer of KBR, Inc., and from 1996 to 2002 he held the position of Assistant Treasurer for Halliburton Company. Prior to that, he held various financial positions within that company. Additionally, he was employed by Texas Eastern Corporation for over a decade in a variety of increasingly responsible audit, finance and treasury positions. Mr. Bender received a Bachelor of Business Administration from Texas A&amp;M University and an M.B.A. from Southern Methodist University. Mr. Bender is also a Certified Public Accountant.</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Robert F. Buesinger </w:t>
      </w:r>
      <w:r>
        <w:rPr>
          <w:rFonts w:ascii="Arial" w:cs="Arial" w:eastAsia="Arial" w:hAnsi="Arial"/>
          <w:sz w:val="18"/>
          <w:szCs w:val="18"/>
          <w:color w:val="auto"/>
        </w:rPr>
        <w:t>(age 59)</w:t>
      </w:r>
      <w:r>
        <w:rPr>
          <w:rFonts w:ascii="Arial" w:cs="Arial" w:eastAsia="Arial" w:hAnsi="Arial"/>
          <w:sz w:val="18"/>
          <w:szCs w:val="18"/>
          <w:i w:val="1"/>
          <w:iCs w:val="1"/>
          <w:color w:val="auto"/>
        </w:rPr>
        <w:t xml:space="preserve">. </w:t>
      </w:r>
      <w:r>
        <w:rPr>
          <w:rFonts w:ascii="Arial" w:cs="Arial" w:eastAsia="Arial" w:hAnsi="Arial"/>
          <w:sz w:val="18"/>
          <w:szCs w:val="18"/>
          <w:color w:val="auto"/>
        </w:rPr>
        <w:t>Mr. Buesinger has been our Senior Vice President, Vinyls since joining us in April 2010. Prior to joining us,</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Mr. Buesinger served as the General Manager and President of Chevron Phillips Chemical Company L.P.'s Performance Pipe Division from February 2010 to March 2010. From June 2008 to January 2010, Mr. Buesinger held the position of General Manager in the Alpha Olefins and Poly Alpha Olefins business of Chevron Phillips Chemical Company L.P. From April 2005 to May 2008, he served as the President and Managing Director of Chevron Phillips Singapore Chemicals Pte. Ltd. and Asia Region General Manager for Chevron Phillips Chemical Company L.P. Prior to that, he held various technical and sales management positions within that company. Mr. Buesinger holds a B.S. in Chemical Engineering from Tulane University.</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21" w:right="29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Michael J. Mattina </w:t>
      </w:r>
      <w:r>
        <w:rPr>
          <w:rFonts w:ascii="Arial" w:cs="Arial" w:eastAsia="Arial" w:hAnsi="Arial"/>
          <w:sz w:val="18"/>
          <w:szCs w:val="18"/>
          <w:color w:val="auto"/>
        </w:rPr>
        <w:t>(age 53)</w:t>
      </w:r>
      <w:r>
        <w:rPr>
          <w:rFonts w:ascii="Arial" w:cs="Arial" w:eastAsia="Arial" w:hAnsi="Arial"/>
          <w:sz w:val="18"/>
          <w:szCs w:val="18"/>
          <w:i w:val="1"/>
          <w:iCs w:val="1"/>
          <w:color w:val="auto"/>
        </w:rPr>
        <w:t xml:space="preserve">. </w:t>
      </w:r>
      <w:r>
        <w:rPr>
          <w:rFonts w:ascii="Arial" w:cs="Arial" w:eastAsia="Arial" w:hAnsi="Arial"/>
          <w:sz w:val="18"/>
          <w:szCs w:val="18"/>
          <w:color w:val="auto"/>
        </w:rPr>
        <w:t>Mr. Mattina has been our Senior Vice President, Polyethylene since April 2015. From March 2011 to March 2015, Mr.</w:t>
      </w:r>
      <w:r>
        <w:rPr>
          <w:rFonts w:ascii="Arial" w:cs="Arial" w:eastAsia="Arial" w:hAnsi="Arial"/>
          <w:sz w:val="18"/>
          <w:szCs w:val="18"/>
          <w:i w:val="1"/>
          <w:iCs w:val="1"/>
          <w:color w:val="auto"/>
        </w:rPr>
        <w:t xml:space="preserve"> </w:t>
      </w:r>
      <w:r>
        <w:rPr>
          <w:rFonts w:ascii="Arial" w:cs="Arial" w:eastAsia="Arial" w:hAnsi="Arial"/>
          <w:sz w:val="18"/>
          <w:szCs w:val="18"/>
          <w:color w:val="auto"/>
        </w:rPr>
        <w:t>Mattina served as our Vice President and General Manager of North American Pipe and Specialty Products. From April 2008 to February 2011, Mr. Mattina served as our Vice President, Polyethylene and Specialty Products. From June 2005 to March 2008, he served as Director, Polyethylene Sales, Marketing and Technical Service. From October 2001 to May 2005, Mr. Mattina served in a variety of sales and marketing management assignments with us. Prior to joining Westlake, Mr. Mattina held various polyethylene business management, marketing and sales positions within Chevron Phillips Chemical Company and ExxonMobil Chemical Company. Mr. Mattina received a Bachelor of Business Administration in Finance with a minor in Chemistry from Stephen F. Austin University.</w:t>
      </w:r>
    </w:p>
    <w:p>
      <w:pPr>
        <w:spacing w:after="0" w:line="13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i w:val="1"/>
          <w:iCs w:val="1"/>
          <w:color w:val="auto"/>
        </w:rPr>
        <w:t xml:space="preserve">Lawrence E. (Skip) Teel </w:t>
      </w:r>
      <w:r>
        <w:rPr>
          <w:rFonts w:ascii="Arial" w:cs="Arial" w:eastAsia="Arial" w:hAnsi="Arial"/>
          <w:sz w:val="16"/>
          <w:szCs w:val="16"/>
          <w:color w:val="auto"/>
        </w:rPr>
        <w:t>(age 57). Mr. Teel has been our Senior Vice President, Olefins since July 2014. In addition, Mr. Teel has been the Senior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Olefins of Westlake Partners' general partner since July 2014. From July 2012 to July 2014, Mr. Teel served as our Vice President, Olefins. Mr. Teel joined us in September 2009 as Director, Olefins and Feedstock after a 23-year career with Lyondell Chemical Company where he served as the Vice President, Refining from August 2006 to May 2008. From 2001 to 2006, Mr. Teel held the position of Director, Corporate Planning and Business Development at Lyondell Chemical Company. During his career, he has held a variety of marketing, operations and general management assignments. Mr. Teel received a B.S. in Chemical Engineering from New Mexico State University and an M.S. in Finance from the University of Houston.</w:t>
      </w:r>
    </w:p>
    <w:p>
      <w:pPr>
        <w:spacing w:after="0" w:line="111"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i w:val="1"/>
          <w:iCs w:val="1"/>
          <w:color w:val="auto"/>
        </w:rPr>
        <w:t xml:space="preserve">L. Benjamin Ederington </w:t>
      </w:r>
      <w:r>
        <w:rPr>
          <w:rFonts w:ascii="Arial" w:cs="Arial" w:eastAsia="Arial" w:hAnsi="Arial"/>
          <w:sz w:val="18"/>
          <w:szCs w:val="18"/>
          <w:color w:val="auto"/>
        </w:rPr>
        <w:t>(age 45). Mr. Ederington has been our Vice President, General Counsel, Chief Administrative Officer and Corporate Secretary</w:t>
      </w:r>
      <w:r>
        <w:rPr>
          <w:rFonts w:ascii="Arial" w:cs="Arial" w:eastAsia="Arial" w:hAnsi="Arial"/>
          <w:sz w:val="18"/>
          <w:szCs w:val="18"/>
          <w:i w:val="1"/>
          <w:iCs w:val="1"/>
          <w:color w:val="auto"/>
        </w:rPr>
        <w:t xml:space="preserve"> </w:t>
      </w:r>
      <w:r>
        <w:rPr>
          <w:rFonts w:ascii="Arial" w:cs="Arial" w:eastAsia="Arial" w:hAnsi="Arial"/>
          <w:sz w:val="18"/>
          <w:szCs w:val="18"/>
          <w:color w:val="auto"/>
        </w:rPr>
        <w:t>since December 2015. Mr. Ederington served as our Vice President, General Counsel and Corporate Secretary from October 2013 to December 2015. In addition, Mr. Ederington has been the Vice President, General Counsel, Corporate Secretary and a director of Westlake Partners' general partner since its formation in March 2014. Prior to joining Westlake, he held a variety of senior legal positions at LyondellBasell Industries, N.V. and its predecessor companies, LyondellBasell Industries AF SCA and Lyondell Chemical Company, including most recently as Associate General Counsel, Commercial &amp; Strategic Transactions from March 2010 to September 2013 and interim Director of Government Affairs from March 2010 to April 2011. He began his legal career more than 19 years ago at the law firm of Steptoe &amp; Johnson, LLP. Mr. Ederington holds a B.A. from Yale University and received his J.D. from Harvard University.</w:t>
      </w:r>
    </w:p>
    <w:p>
      <w:pPr>
        <w:spacing w:after="0" w:line="138"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i w:val="1"/>
          <w:iCs w:val="1"/>
          <w:color w:val="auto"/>
        </w:rPr>
        <w:t xml:space="preserve">Andrew Kenner </w:t>
      </w:r>
      <w:r>
        <w:rPr>
          <w:rFonts w:ascii="Arial" w:cs="Arial" w:eastAsia="Arial" w:hAnsi="Arial"/>
          <w:sz w:val="17"/>
          <w:szCs w:val="17"/>
          <w:color w:val="auto"/>
        </w:rPr>
        <w:t>(age 51). Mr. Kenner has been our Vice President, Manufacturing since July 2008. Mr. Kenner joined us after a 19-year career at Valero</w:t>
      </w:r>
      <w:r>
        <w:rPr>
          <w:rFonts w:ascii="Arial" w:cs="Arial" w:eastAsia="Arial" w:hAnsi="Arial"/>
          <w:sz w:val="17"/>
          <w:szCs w:val="17"/>
          <w:i w:val="1"/>
          <w:iCs w:val="1"/>
          <w:color w:val="auto"/>
        </w:rPr>
        <w:t xml:space="preserve"> </w:t>
      </w:r>
      <w:r>
        <w:rPr>
          <w:rFonts w:ascii="Arial" w:cs="Arial" w:eastAsia="Arial" w:hAnsi="Arial"/>
          <w:sz w:val="17"/>
          <w:szCs w:val="17"/>
          <w:color w:val="auto"/>
        </w:rPr>
        <w:t>Energy Corporation where he served as Vice President and General Manager of Valero's Delaware City Refinery from September 2005 to July 2008. From August 2004 to September 2005, Mr. Kenner held the position of Vice President and General Manager of Valero's Houston Refinery. Mr. Kenner holds a B.S. in Aerospace Engineering from Texas A&amp;M University and a M.S. in Chemical Engineering from the University of Texas at Austin.</w:t>
      </w:r>
    </w:p>
    <w:p>
      <w:pPr>
        <w:spacing w:after="0" w:line="117"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i w:val="1"/>
          <w:iCs w:val="1"/>
          <w:color w:val="auto"/>
        </w:rPr>
        <w:t xml:space="preserve">George J. Mangieri </w:t>
      </w:r>
      <w:r>
        <w:rPr>
          <w:rFonts w:ascii="Arial" w:cs="Arial" w:eastAsia="Arial" w:hAnsi="Arial"/>
          <w:sz w:val="18"/>
          <w:szCs w:val="18"/>
          <w:color w:val="auto"/>
        </w:rPr>
        <w:t>(age 65)</w:t>
      </w:r>
      <w:r>
        <w:rPr>
          <w:rFonts w:ascii="Arial" w:cs="Arial" w:eastAsia="Arial" w:hAnsi="Arial"/>
          <w:sz w:val="18"/>
          <w:szCs w:val="18"/>
          <w:i w:val="1"/>
          <w:iCs w:val="1"/>
          <w:color w:val="auto"/>
        </w:rPr>
        <w:t xml:space="preserve">. </w:t>
      </w:r>
      <w:r>
        <w:rPr>
          <w:rFonts w:ascii="Arial" w:cs="Arial" w:eastAsia="Arial" w:hAnsi="Arial"/>
          <w:sz w:val="18"/>
          <w:szCs w:val="18"/>
          <w:color w:val="auto"/>
        </w:rPr>
        <w:t>Mr. Mangieri has been our Vice President and Chief Accounting Officer since February 2007. From April 2000 to</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2007, he was Vice President and Controller. In addition, Mr. Mangieri has been the Vice President and Chief Accounting Officer of Westlake Partners' general partner since its formation in March 2014. Prior to joining us, Mr. Mangieri served as Vice President and Controller of Zurn Industries, Inc. from 1998 to 2000. He previously was employed as Vice President and Controller for Imo Industries, Inc. in New Jersey, and spent over 10 years in public accounting with Ernst &amp; Young LLP, where he served as Senior Manager. He received his Bachelor of Science degree from Monmouth College and is a Certified Public Accountant.</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06" w:lineRule="exact"/>
        <w:rPr>
          <w:sz w:val="20"/>
          <w:szCs w:val="20"/>
          <w:color w:val="auto"/>
        </w:rPr>
      </w:pPr>
    </w:p>
    <w:p>
      <w:pPr>
        <w:ind w:right="2160"/>
        <w:spacing w:after="0" w:line="346"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Price Range of Common Stock</w:t>
      </w:r>
    </w:p>
    <w:p>
      <w:pPr>
        <w:spacing w:after="0" w:line="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As of February 17, 2016, there were 42 holders of record of our common stock. Our common stock is listed on the New York Stock Exchange under the symbol "WLK." Set forth below are the high and low closing prices for our common stock, as reported on the New York Stock Exchange composite tape for the periods indicated and the cash dividends declared in these periods.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High</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Low</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174"/>
              <w:spacing w:after="0"/>
              <w:rPr>
                <w:sz w:val="20"/>
                <w:szCs w:val="20"/>
                <w:color w:val="auto"/>
              </w:rPr>
            </w:pPr>
            <w:r>
              <w:rPr>
                <w:rFonts w:ascii="Arial" w:cs="Arial" w:eastAsia="Arial" w:hAnsi="Arial"/>
                <w:sz w:val="14"/>
                <w:szCs w:val="14"/>
                <w:b w:val="1"/>
                <w:bCs w:val="1"/>
                <w:color w:val="auto"/>
                <w:w w:val="95"/>
              </w:rPr>
              <w:t>Cash Dividends</w:t>
            </w:r>
          </w:p>
        </w:tc>
        <w:tc>
          <w:tcPr>
            <w:tcW w:w="0" w:type="dxa"/>
            <w:vAlign w:val="bottom"/>
          </w:tcPr>
          <w:p>
            <w:pPr>
              <w:spacing w:after="0"/>
              <w:rPr>
                <w:sz w:val="1"/>
                <w:szCs w:val="1"/>
                <w:color w:val="auto"/>
              </w:rPr>
            </w:pPr>
          </w:p>
        </w:tc>
      </w:tr>
      <w:tr>
        <w:trPr>
          <w:trHeight w:val="192"/>
        </w:trPr>
        <w:tc>
          <w:tcPr>
            <w:tcW w:w="67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2015</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4th Quarter</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62.09</w:t>
            </w:r>
          </w:p>
        </w:tc>
        <w:tc>
          <w:tcPr>
            <w:tcW w:w="100" w:type="dxa"/>
            <w:vAlign w:val="bottom"/>
          </w:tcPr>
          <w:p>
            <w:pPr>
              <w:spacing w:after="0"/>
              <w:rPr>
                <w:sz w:val="21"/>
                <w:szCs w:val="21"/>
                <w:color w:val="auto"/>
              </w:rPr>
            </w:pP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52.86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0.1815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3rd Quarter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66.69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49.82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0.1815</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2nd Quarter</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78.59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67.98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0.1650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1st Quarter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72.49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55.20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0.1650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2014</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4th Quarter</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83.43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0.1650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3rd Quarter</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97.96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84.22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0.1650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2nd Quarter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84.77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62.36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0.1260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1st Quarter</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68.73</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57.66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0.1260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credit facility and the indenture governing our senior notes restrict our ability to pay dividends or other distributions on our equity securities. However, the effectiveness of these restrictions in the indenture governing the senior notes is currently suspended because the senior notes are currently rated investment grade by at least two nationally recognized credit rating agencies. See "Management's Discussion and Analysis of Financial Condition and Results of Operations—Liquidity and Capital Resources—Debt" for additional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information on our purchase of equity securities during the quarter ended December 31,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center"/>
              <w:ind w:right="103"/>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Average Price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Paid Per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or Programs </w:t>
            </w:r>
            <w:r>
              <w:rPr>
                <w:rFonts w:ascii="Arial" w:cs="Arial" w:eastAsia="Arial" w:hAnsi="Arial"/>
                <w:sz w:val="8"/>
                <w:szCs w:val="8"/>
                <w:b w:val="1"/>
                <w:bCs w:val="1"/>
                <w:color w:val="auto"/>
                <w:w w:val="94"/>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4"/>
              </w:rPr>
              <w:t xml:space="preserve">Plans or Programs </w:t>
            </w:r>
            <w:r>
              <w:rPr>
                <w:rFonts w:ascii="Arial" w:cs="Arial" w:eastAsia="Arial" w:hAnsi="Arial"/>
                <w:sz w:val="8"/>
                <w:szCs w:val="8"/>
                <w:b w:val="1"/>
                <w:bCs w:val="1"/>
                <w:color w:val="auto"/>
                <w:w w:val="94"/>
              </w:rPr>
              <w:t>(1)</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2015</w:t>
            </w:r>
          </w:p>
        </w:tc>
        <w:tc>
          <w:tcPr>
            <w:tcW w:w="16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288,161</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55.33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288,161</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113,533,000</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November 2015</w:t>
            </w:r>
          </w:p>
        </w:tc>
        <w:tc>
          <w:tcPr>
            <w:tcW w:w="1600" w:type="dxa"/>
            <w:vAlign w:val="bottom"/>
          </w:tcPr>
          <w:p>
            <w:pPr>
              <w:jc w:val="right"/>
              <w:ind w:right="38"/>
              <w:spacing w:after="0"/>
              <w:rPr>
                <w:sz w:val="20"/>
                <w:szCs w:val="20"/>
                <w:color w:val="auto"/>
              </w:rPr>
            </w:pPr>
            <w:r>
              <w:rPr>
                <w:rFonts w:ascii="Arial" w:cs="Arial" w:eastAsia="Arial" w:hAnsi="Arial"/>
                <w:sz w:val="18"/>
                <w:szCs w:val="18"/>
                <w:color w:val="auto"/>
              </w:rPr>
              <w:t>327,283</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59.46</w:t>
            </w:r>
          </w:p>
        </w:tc>
        <w:tc>
          <w:tcPr>
            <w:tcW w:w="100" w:type="dxa"/>
            <w:vAlign w:val="bottom"/>
          </w:tcPr>
          <w:p>
            <w:pPr>
              <w:spacing w:after="0"/>
              <w:rPr>
                <w:sz w:val="21"/>
                <w:szCs w:val="21"/>
                <w:color w:val="auto"/>
              </w:rPr>
            </w:pPr>
          </w:p>
        </w:tc>
        <w:tc>
          <w:tcPr>
            <w:tcW w:w="1580" w:type="dxa"/>
            <w:vAlign w:val="bottom"/>
          </w:tcPr>
          <w:p>
            <w:pPr>
              <w:jc w:val="right"/>
              <w:ind w:right="21"/>
              <w:spacing w:after="0"/>
              <w:rPr>
                <w:sz w:val="20"/>
                <w:szCs w:val="20"/>
                <w:color w:val="auto"/>
              </w:rPr>
            </w:pPr>
            <w:r>
              <w:rPr>
                <w:rFonts w:ascii="Arial" w:cs="Arial" w:eastAsia="Arial" w:hAnsi="Arial"/>
                <w:sz w:val="18"/>
                <w:szCs w:val="18"/>
                <w:color w:val="auto"/>
              </w:rPr>
              <w:t>327,283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3"/>
              <w:spacing w:after="0"/>
              <w:rPr>
                <w:sz w:val="20"/>
                <w:szCs w:val="20"/>
                <w:color w:val="auto"/>
              </w:rPr>
            </w:pPr>
            <w:r>
              <w:rPr>
                <w:rFonts w:ascii="Arial" w:cs="Arial" w:eastAsia="Arial" w:hAnsi="Arial"/>
                <w:sz w:val="18"/>
                <w:szCs w:val="18"/>
                <w:color w:val="auto"/>
              </w:rPr>
              <w:t>244,073,000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2015</w:t>
            </w:r>
          </w:p>
        </w:tc>
        <w:tc>
          <w:tcPr>
            <w:tcW w:w="16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111,741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54.53</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111,174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238,012,000</w:t>
            </w:r>
          </w:p>
        </w:tc>
        <w:tc>
          <w:tcPr>
            <w:tcW w:w="0" w:type="dxa"/>
            <w:vAlign w:val="bottom"/>
          </w:tcPr>
          <w:p>
            <w:pPr>
              <w:spacing w:after="0"/>
              <w:rPr>
                <w:sz w:val="1"/>
                <w:szCs w:val="1"/>
                <w:color w:val="auto"/>
              </w:rPr>
            </w:pPr>
          </w:p>
        </w:tc>
      </w:tr>
      <w:tr>
        <w:trPr>
          <w:trHeight w:val="237"/>
        </w:trPr>
        <w:tc>
          <w:tcPr>
            <w:tcW w:w="448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727,185</w:t>
            </w:r>
          </w:p>
        </w:tc>
        <w:tc>
          <w:tcPr>
            <w:tcW w:w="36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tcBorders>
          </w:tcPr>
          <w:p>
            <w:pPr>
              <w:jc w:val="right"/>
              <w:ind w:right="18"/>
              <w:spacing w:after="0"/>
              <w:rPr>
                <w:sz w:val="20"/>
                <w:szCs w:val="20"/>
                <w:color w:val="auto"/>
              </w:rPr>
            </w:pPr>
            <w:r>
              <w:rPr>
                <w:rFonts w:ascii="Arial" w:cs="Arial" w:eastAsia="Arial" w:hAnsi="Arial"/>
                <w:sz w:val="18"/>
                <w:szCs w:val="18"/>
                <w:color w:val="auto"/>
              </w:rPr>
              <w:t>56.27</w:t>
            </w:r>
          </w:p>
        </w:tc>
        <w:tc>
          <w:tcPr>
            <w:tcW w:w="100" w:type="dxa"/>
            <w:vAlign w:val="bottom"/>
            <w:tcBorders>
              <w:top w:val="single" w:sz="8" w:color="CCEEFF"/>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rPr>
              <w:t>726,618</w:t>
            </w:r>
          </w:p>
        </w:tc>
        <w:tc>
          <w:tcPr>
            <w:tcW w:w="12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180" w:hanging="412"/>
        <w:spacing w:after="0" w:line="273" w:lineRule="auto"/>
        <w:tabs>
          <w:tab w:leader="none" w:pos="4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November 2014, our Board of Directors approved a $250.0 million stock repurchase program (the "2014 Program"). On November 20, 2015, our Board of Directors approved the expansion of the 2014 Program by an additional $150.0 million. As of December 31, 2015, 2,682,489 shares of our common stock had been acquired at an aggregate purchase price of approximately $162.0 million under the 2014 Program. Transaction fees and commissions are not reported in the average price paid per share in the table above. Decisions regarding the amount and the timing of purchases under the 2014 Program will be influenced by our cash on hand, our cash flow from operations, general market conditions and other factors. The 2014 Program may be discontinued by our Board of Directors at any time.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Securities authorized for issuance under equity compensation plans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 securities</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 under</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exercise of outstanding</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reflected in column</w:t>
            </w:r>
          </w:p>
        </w:tc>
        <w:tc>
          <w:tcPr>
            <w:tcW w:w="0" w:type="dxa"/>
            <w:vAlign w:val="bottom"/>
          </w:tcPr>
          <w:p>
            <w:pPr>
              <w:spacing w:after="0"/>
              <w:rPr>
                <w:sz w:val="1"/>
                <w:szCs w:val="1"/>
                <w:color w:val="auto"/>
              </w:rPr>
            </w:pPr>
          </w:p>
        </w:tc>
      </w:tr>
      <w:tr>
        <w:trPr>
          <w:trHeight w:val="149"/>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and rights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8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rPr>
              <w:t>1,766,662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21.58</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5,733,600</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840" w:type="dxa"/>
            <w:vAlign w:val="bottom"/>
          </w:tcPr>
          <w:p>
            <w:pPr>
              <w:jc w:val="right"/>
              <w:ind w:right="62"/>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800" w:type="dxa"/>
            <w:vAlign w:val="bottom"/>
          </w:tcPr>
          <w:p>
            <w:pPr>
              <w:jc w:val="right"/>
              <w:ind w:right="2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1,766,662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21.58</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5,733,600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Other information regarding our equity compensation plans is set forth in the section entitled "Executive Compensation" in our Proxy Statement, which information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Selected Financial and Operational Data </w:t>
      </w:r>
      <w:r>
        <w:rPr>
          <w:rFonts w:ascii="Arial" w:cs="Arial" w:eastAsia="Arial" w:hAnsi="Arial"/>
          <w:sz w:val="25"/>
          <w:szCs w:val="25"/>
          <w:b w:val="1"/>
          <w:bCs w:val="1"/>
          <w:color w:val="auto"/>
          <w:vertAlign w:val="superscript"/>
        </w:rPr>
        <w:t>(1)</w:t>
      </w:r>
    </w:p>
    <w:p>
      <w:pPr>
        <w:spacing w:after="0" w:line="154" w:lineRule="exact"/>
        <w:rPr>
          <w:sz w:val="20"/>
          <w:szCs w:val="20"/>
          <w:color w:val="auto"/>
        </w:rPr>
      </w:pPr>
    </w:p>
    <w:p>
      <w:pPr>
        <w:jc w:val="center"/>
        <w:ind w:left="41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23495</wp:posOffset>
            </wp:positionV>
            <wp:extent cx="4631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03" w:lineRule="exact"/>
        <w:rPr>
          <w:sz w:val="20"/>
          <w:szCs w:val="20"/>
          <w:color w:val="auto"/>
        </w:rPr>
      </w:pPr>
    </w:p>
    <w:p>
      <w:pPr>
        <w:ind w:left="4680"/>
        <w:spacing w:after="0"/>
        <w:tabs>
          <w:tab w:leader="none" w:pos="6160" w:val="left"/>
          <w:tab w:leader="none" w:pos="7620" w:val="left"/>
          <w:tab w:leader="none" w:pos="9100" w:val="left"/>
          <w:tab w:leader="none" w:pos="105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2"/>
          <w:szCs w:val="12"/>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23495</wp:posOffset>
            </wp:positionV>
            <wp:extent cx="46310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24"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(dollars in thousands, except share amounts, per share data and volume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4,463,336</w:t>
            </w:r>
          </w:p>
        </w:tc>
        <w:tc>
          <w:tcPr>
            <w:tcW w:w="3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4,415,350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3,759,484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3,571,041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3,619,848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1,185,191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1,317,350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1,101,438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736,960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559,006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225,364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193,359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147,974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112,210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959,827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1,123,991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953,464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615,351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446,796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(50,992)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Debt retirement costs</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from sales of equity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5"/>
                <w:szCs w:val="25"/>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38,270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6,790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3,520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5,628</w:t>
            </w: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963,441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1,083,918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942,172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585,169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401,432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298,396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398,902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331,747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199,614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142,466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665,045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685,016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610,425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385,555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258,966</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520"/>
              <w:spacing w:after="0"/>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19,035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6,493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646,010</w:t>
            </w:r>
          </w:p>
        </w:tc>
        <w:tc>
          <w:tcPr>
            <w:tcW w:w="360" w:type="dxa"/>
            <w:vAlign w:val="bottom"/>
            <w:gridSpan w:val="2"/>
            <w:vMerge w:val="restart"/>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678,523</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610,425</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385,555</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258,966</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Westlake Chemical Corporation</w:t>
            </w:r>
          </w:p>
        </w:tc>
        <w:tc>
          <w:tcPr>
            <w:tcW w:w="26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36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Earnings Per Share Attributable to</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120" w:type="dxa"/>
            <w:vAlign w:val="bottom"/>
          </w:tcPr>
          <w:p>
            <w:pPr>
              <w:ind w:left="160"/>
              <w:spacing w:after="0" w:line="262" w:lineRule="exact"/>
              <w:rPr>
                <w:sz w:val="20"/>
                <w:szCs w:val="20"/>
                <w:color w:val="auto"/>
              </w:rPr>
            </w:pPr>
            <w:r>
              <w:rPr>
                <w:rFonts w:ascii="Arial" w:cs="Arial" w:eastAsia="Arial" w:hAnsi="Arial"/>
                <w:sz w:val="18"/>
                <w:szCs w:val="18"/>
                <w:b w:val="1"/>
                <w:bCs w:val="1"/>
                <w:color w:val="auto"/>
              </w:rPr>
              <w:t xml:space="preserve">Westlake Chemical Corporation: </w:t>
            </w:r>
            <w:r>
              <w:rPr>
                <w:rFonts w:ascii="Arial" w:cs="Arial" w:eastAsia="Arial" w:hAnsi="Arial"/>
                <w:sz w:val="25"/>
                <w:szCs w:val="25"/>
                <w:b w:val="1"/>
                <w:bCs w:val="1"/>
                <w:color w:val="auto"/>
                <w:vertAlign w:val="superscript"/>
              </w:rPr>
              <w:t>(3)</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w:t>
            </w:r>
          </w:p>
        </w:tc>
        <w:tc>
          <w:tcPr>
            <w:tcW w:w="3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4.86</w:t>
            </w:r>
          </w:p>
        </w:tc>
        <w:tc>
          <w:tcPr>
            <w:tcW w:w="3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Weighted average shares outstanding </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131,823,707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w w:val="97"/>
              </w:rPr>
              <w:t>133,111,230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99"/>
              </w:rPr>
              <w:t>133,224,256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99"/>
              </w:rPr>
              <w:t>132,578,858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99"/>
              </w:rPr>
              <w:t>131,854,842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132,301,812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133,643,414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133,779,250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133,282,990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132,600,316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Balance Sheet Data (end of period):</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662,525</w:t>
            </w:r>
          </w:p>
        </w:tc>
        <w:tc>
          <w:tcPr>
            <w:tcW w:w="3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880,601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461,301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790,078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825,901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520,144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239,388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124,873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96,283</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5"/>
                <w:szCs w:val="25"/>
                <w:color w:val="auto"/>
                <w:vertAlign w:val="superscript"/>
              </w:rPr>
              <w:t>(4)</w:t>
            </w:r>
          </w:p>
        </w:tc>
        <w:tc>
          <w:tcPr>
            <w:tcW w:w="2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1,652,547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1,474,107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1,244,224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1,352,903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1,391,561</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5,575,252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5,213,990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4,060,909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3,412,196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3,266,821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764,115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763,997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763,879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763,761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764,563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Westlake Chemical Corporation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3,265,878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2,911,511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2,418,603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1,872,256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1,756,312</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Cash dividends declared per share </w:t>
            </w:r>
            <w:r>
              <w:rPr>
                <w:rFonts w:ascii="Arial" w:cs="Arial" w:eastAsia="Arial" w:hAnsi="Arial"/>
                <w:sz w:val="25"/>
                <w:szCs w:val="25"/>
                <w:color w:val="auto"/>
                <w:vertAlign w:val="superscript"/>
              </w:rPr>
              <w:t>(3) (5)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0.6930</w:t>
            </w:r>
          </w:p>
        </w:tc>
        <w:tc>
          <w:tcPr>
            <w:tcW w:w="3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0.5820</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0.4125</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2.1363</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0.1373</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Operating Data:</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flow from:</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1,078,836</w:t>
            </w:r>
          </w:p>
        </w:tc>
        <w:tc>
          <w:tcPr>
            <w:tcW w:w="3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1,032,376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752,729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612,087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358,935</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(1,006,176)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(773,205)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(1,002,238)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(466,971)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(202,785)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(286,812)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39,452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245,757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208,486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157,808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144,541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131,397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491,426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431,104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679,222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386,882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176,843</w:t>
            </w:r>
          </w:p>
        </w:tc>
        <w:tc>
          <w:tcPr>
            <w:tcW w:w="0" w:type="dxa"/>
            <w:vAlign w:val="bottom"/>
          </w:tcPr>
          <w:p>
            <w:pPr>
              <w:spacing w:after="0"/>
              <w:rPr>
                <w:sz w:val="1"/>
                <w:szCs w:val="1"/>
                <w:color w:val="auto"/>
              </w:rPr>
            </w:pPr>
          </w:p>
        </w:tc>
      </w:tr>
      <w:tr>
        <w:trPr>
          <w:trHeight w:val="341"/>
        </w:trPr>
        <w:tc>
          <w:tcPr>
            <w:tcW w:w="4120" w:type="dxa"/>
            <w:vAlign w:val="bottom"/>
          </w:tcPr>
          <w:p>
            <w:pPr>
              <w:ind w:left="40"/>
              <w:spacing w:after="0"/>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(6)</w:t>
            </w:r>
          </w:p>
        </w:tc>
        <w:tc>
          <w:tcPr>
            <w:tcW w:w="26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1,243,854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1,329,756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1,118,062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772,759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583,821</w:t>
            </w:r>
          </w:p>
        </w:tc>
        <w:tc>
          <w:tcPr>
            <w:tcW w:w="0" w:type="dxa"/>
            <w:vAlign w:val="bottom"/>
          </w:tcPr>
          <w:p>
            <w:pPr>
              <w:spacing w:after="0"/>
              <w:rPr>
                <w:sz w:val="1"/>
                <w:szCs w:val="1"/>
                <w:color w:val="auto"/>
              </w:rPr>
            </w:pPr>
          </w:p>
        </w:tc>
      </w:tr>
      <w:tr>
        <w:trPr>
          <w:trHeight w:val="388"/>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26</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jc w:val="center"/>
        <w:ind w:left="41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23495</wp:posOffset>
            </wp:positionV>
            <wp:extent cx="46310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03" w:lineRule="exact"/>
        <w:rPr>
          <w:sz w:val="20"/>
          <w:szCs w:val="20"/>
          <w:color w:val="auto"/>
        </w:rPr>
      </w:pPr>
    </w:p>
    <w:p>
      <w:pPr>
        <w:ind w:left="4680"/>
        <w:spacing w:after="0"/>
        <w:tabs>
          <w:tab w:leader="none" w:pos="6180" w:val="left"/>
          <w:tab w:leader="none" w:pos="7660" w:val="left"/>
          <w:tab w:leader="none" w:pos="9120" w:val="left"/>
          <w:tab w:leader="none" w:pos="105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2"/>
          <w:szCs w:val="12"/>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23495</wp:posOffset>
            </wp:positionV>
            <wp:extent cx="46310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24"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(dollars in thousands, except share amounts, per share data and volume data)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External Sales Volume</w:t>
            </w:r>
          </w:p>
        </w:tc>
        <w:tc>
          <w:tcPr>
            <w:tcW w:w="2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1"/>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(millions of pounds):</w:t>
            </w:r>
          </w:p>
        </w:tc>
        <w:tc>
          <w:tcPr>
            <w:tcW w:w="2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Olefins Segment</w:t>
            </w:r>
          </w:p>
        </w:tc>
        <w:tc>
          <w:tcPr>
            <w:tcW w:w="2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Polyethylene</w:t>
            </w:r>
          </w:p>
        </w:tc>
        <w:tc>
          <w:tcPr>
            <w:tcW w:w="22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2,445</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2,364</w:t>
            </w:r>
          </w:p>
        </w:tc>
        <w:tc>
          <w:tcPr>
            <w:tcW w:w="14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2,244</w:t>
            </w:r>
          </w:p>
        </w:tc>
        <w:tc>
          <w:tcPr>
            <w:tcW w:w="14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2,230</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2,272</w:t>
            </w: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Styrene, feedstock and other</w:t>
            </w:r>
          </w:p>
        </w:tc>
        <w:tc>
          <w:tcPr>
            <w:tcW w:w="2240" w:type="dxa"/>
            <w:vAlign w:val="bottom"/>
          </w:tcPr>
          <w:p>
            <w:pPr>
              <w:jc w:val="right"/>
              <w:ind w:right="470"/>
              <w:spacing w:after="0"/>
              <w:rPr>
                <w:sz w:val="20"/>
                <w:szCs w:val="20"/>
                <w:color w:val="auto"/>
              </w:rPr>
            </w:pPr>
            <w:r>
              <w:rPr>
                <w:rFonts w:ascii="Arial" w:cs="Arial" w:eastAsia="Arial" w:hAnsi="Arial"/>
                <w:sz w:val="18"/>
                <w:szCs w:val="18"/>
                <w:color w:val="auto"/>
              </w:rPr>
              <w:t>1,182</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941</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1,094</w:t>
            </w: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925</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753</w:t>
            </w:r>
          </w:p>
        </w:tc>
      </w:tr>
      <w:tr>
        <w:trPr>
          <w:trHeight w:val="27"/>
        </w:trPr>
        <w:tc>
          <w:tcPr>
            <w:tcW w:w="3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Vinyls Segment</w:t>
            </w:r>
          </w:p>
        </w:tc>
        <w:tc>
          <w:tcPr>
            <w:tcW w:w="2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PVC, caustic soda and other</w:t>
            </w:r>
          </w:p>
        </w:tc>
        <w:tc>
          <w:tcPr>
            <w:tcW w:w="2240" w:type="dxa"/>
            <w:vAlign w:val="bottom"/>
          </w:tcPr>
          <w:p>
            <w:pPr>
              <w:jc w:val="right"/>
              <w:ind w:right="470"/>
              <w:spacing w:after="0"/>
              <w:rPr>
                <w:sz w:val="20"/>
                <w:szCs w:val="20"/>
                <w:color w:val="auto"/>
              </w:rPr>
            </w:pPr>
            <w:r>
              <w:rPr>
                <w:rFonts w:ascii="Arial" w:cs="Arial" w:eastAsia="Arial" w:hAnsi="Arial"/>
                <w:sz w:val="18"/>
                <w:szCs w:val="18"/>
                <w:color w:val="auto"/>
              </w:rPr>
              <w:t>5,026</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3,174</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1,995</w:t>
            </w: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1,822</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1,749</w:t>
            </w:r>
          </w:p>
        </w:tc>
      </w:tr>
      <w:tr>
        <w:trPr>
          <w:trHeight w:val="27"/>
        </w:trPr>
        <w:tc>
          <w:tcPr>
            <w:tcW w:w="3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3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Building products</w:t>
            </w:r>
          </w:p>
        </w:tc>
        <w:tc>
          <w:tcPr>
            <w:tcW w:w="22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629</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572</w:t>
            </w:r>
          </w:p>
        </w:tc>
        <w:tc>
          <w:tcPr>
            <w:tcW w:w="14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487</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423</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r>
      <w:tr>
        <w:trPr>
          <w:trHeight w:val="27"/>
        </w:trPr>
        <w:tc>
          <w:tcPr>
            <w:tcW w:w="372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207" w:lineRule="exact"/>
        <w:rPr>
          <w:sz w:val="20"/>
          <w:szCs w:val="20"/>
          <w:color w:val="auto"/>
        </w:rPr>
      </w:pPr>
    </w:p>
    <w:p>
      <w:pPr>
        <w:ind w:left="420" w:right="740" w:hanging="412"/>
        <w:spacing w:after="0" w:line="298" w:lineRule="auto"/>
        <w:tabs>
          <w:tab w:leader="none" w:pos="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historical selected financial and operational data should be read together with Item 7, Management's Discussion and Analysis of Financial Condition and Results of Operations, and Item 8, Financial Statements and Supplementary Data included in this Form 10-K.</w:t>
      </w:r>
    </w:p>
    <w:p>
      <w:pPr>
        <w:ind w:left="420" w:right="220" w:hanging="412"/>
        <w:spacing w:after="0" w:line="264"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income (expense), net is composed of interest income, income or loss from equity method investments, dividend income, gains or losses from sales of securities, foreign exchange currency gains or losses, gain on acquisition, impairment of equity method investments, management fee income and other gains and losses.</w:t>
      </w:r>
    </w:p>
    <w:p>
      <w:pPr>
        <w:spacing w:after="0" w:line="19" w:lineRule="exact"/>
        <w:rPr>
          <w:rFonts w:ascii="Arial" w:cs="Arial" w:eastAsia="Arial" w:hAnsi="Arial"/>
          <w:sz w:val="18"/>
          <w:szCs w:val="18"/>
          <w:color w:val="auto"/>
        </w:rPr>
      </w:pPr>
    </w:p>
    <w:p>
      <w:pPr>
        <w:jc w:val="both"/>
        <w:ind w:left="420" w:hanging="412"/>
        <w:spacing w:after="0" w:line="264"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February 14, 2014, our Board of Directors authorized a two-for-one split of our common stock. Stockholders of record as of February 28, 2014 were entitled to one additional share for every share outstanding, which was distributed on March 18, 2014. All share amounts and per share data for the years prior to December 31, 2014 have been restated to reflect the effect of the two-for-one stock split.</w:t>
      </w:r>
    </w:p>
    <w:p>
      <w:pPr>
        <w:spacing w:after="0" w:line="19" w:lineRule="exact"/>
        <w:rPr>
          <w:rFonts w:ascii="Arial" w:cs="Arial" w:eastAsia="Arial" w:hAnsi="Arial"/>
          <w:sz w:val="18"/>
          <w:szCs w:val="18"/>
          <w:color w:val="auto"/>
        </w:rPr>
      </w:pPr>
    </w:p>
    <w:p>
      <w:pPr>
        <w:ind w:left="420" w:hanging="412"/>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Working capital equals current assets less current liabilities.</w:t>
      </w:r>
    </w:p>
    <w:p>
      <w:pPr>
        <w:spacing w:after="0" w:line="63" w:lineRule="exact"/>
        <w:rPr>
          <w:rFonts w:ascii="Arial" w:cs="Arial" w:eastAsia="Arial" w:hAnsi="Arial"/>
          <w:sz w:val="18"/>
          <w:szCs w:val="18"/>
          <w:color w:val="auto"/>
        </w:rPr>
      </w:pPr>
    </w:p>
    <w:p>
      <w:pPr>
        <w:ind w:left="420" w:right="840" w:hanging="412"/>
        <w:spacing w:after="0" w:line="277"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dividends declared for the year ended December 31, 2012 includes a special dividend of $1.875 per share (on a post-split basis) paid on December 12, 2012.</w:t>
      </w:r>
    </w:p>
    <w:p>
      <w:pPr>
        <w:spacing w:after="0" w:line="8" w:lineRule="exact"/>
        <w:rPr>
          <w:rFonts w:ascii="Arial" w:cs="Arial" w:eastAsia="Arial" w:hAnsi="Arial"/>
          <w:sz w:val="18"/>
          <w:szCs w:val="18"/>
          <w:color w:val="auto"/>
        </w:rPr>
      </w:pPr>
    </w:p>
    <w:p>
      <w:pPr>
        <w:ind w:left="420" w:right="40" w:hanging="412"/>
        <w:spacing w:after="0" w:line="285" w:lineRule="auto"/>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EBITDA (a non-GAAP financial measure) is calculated as net income before interest expense, income taxes, depreciation and amortization. The body of accounting principles generally accepted in the United States is commonly referred to as "GAAP." For this purpose a non-GAAP financial measure is generally defined by the SEC as one that purports to measure historical and future financial performance, financial position or cash flows, but excludes or includes amounts that would not be so adjusted in the most comparable GAAP measures. We have included EBITDA in this Form 10-K because our management considers it an important supplemental measure of our performance and believes that it is frequently used by securities analysts, investors and other interested parties in the evaluation of companies in our industry, some of which present EBITDA when reporting their results. We regularly evaluate our performance as compared to other companies in our industry that have different financing and capital structures and/or tax rates by using EBITDA. EBITDA allows for meaningful company-to-company performance comparisons by adjusting for factors such as interest expense, depreciation and amortization and taxes, which often vary from company to company. In addition, we utilize EBITDA in evaluating acquisition targets. Management also believes that EBITDA is a useful tool for measuring our ability to meet our future debt service, capital expenditures and working capital requirements, and EBITDA is commonly used by us and our investors to measure our ability to service indebtedness. EBITDA is not a substitute for the GAAP measures of earnings or of cash flow and is not necessarily a measure of our ability to fund our cash needs. In addition, it should be noted that companies calculate EBITDA differently and, therefore, EBITDA as presented in this Form 10-K may not be comparable to EBITDA reported by other companies. EBITDA has material limitations as a performance measure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which is a necessary element of our operations. We compensate for these limitations by relying primarily on our GAAP results and using EBITDA only supplementally. The following table reconciles EBITDA to net income and to net cash provided by operating activities.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Reconciliation of EBITDA to Net Income and</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to Net Cash Provided by Operating Activities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r>
      <w:tr>
        <w:trPr>
          <w:trHeight w:val="385"/>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1,243,854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1,329,756</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1,118,062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772,759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583,821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(298,396)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(398,902)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(331,747)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(142,466)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(37,352)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(43,049)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(50,992)</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(208,486)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(131,397)</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665,045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685,016</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610,425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385,555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258,966</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other</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371,794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273,083</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34,453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244,683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76,898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equity method investments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Windfall tax benefits from share-based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arrangements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(6,704)</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39,784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58,967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93,732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14,114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 of 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Impairment of equity method investments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6,747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long-lived 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(Gains) losses from sales of securities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acquisition, net of loss on the fair value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remeasurement of preexisting equity interest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from disposition of fixed assets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10,891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4,181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5,039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3,886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1,375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1,683</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losses, net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1,078,836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1,032,376</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752,729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612,087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358,935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right="3940"/>
        <w:spacing w:after="0" w:line="34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1"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We are a vertically integrated global manufacturer and marketer of petrochemicals, polymers and building products. Our two principal operating segments are Olefins and Vinyls. We use the majority of our internally-produced basic chemicals to produce higher value-added chemicals and building products.</w:t>
      </w:r>
    </w:p>
    <w:p>
      <w:pPr>
        <w:spacing w:after="0" w:line="127"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Consumption of the basic chemicals that we manufacture in the commodity portions of our olefins and vinyls processes has increased significantly since we began operations in 1986. Our olefins and vinyls products are some of the most widely used chemicals in the world and are upgraded into a wide variety of higher value-added chemical products used in many end-markets. Petrochemicals are typically manufactured in large volume by a number of different producers using widely available technologies. The petrochemical industry exhibits cyclical commodity characteristics, and margins are influenced by changes in the balance between supply and demand and the resulting operating rates, the level of general economic activity and the price of raw materials. The cycle is generally characterized by periods of tight supply, leading to high operating rates and margins, followed by a decline in operating rates and margins primarily as a result of excess new capacity additions. Due to the significant size of new plants, capacity additions are built in large increments and typically require several years of demand growth to be absorbed.</w:t>
      </w:r>
    </w:p>
    <w:p>
      <w:pPr>
        <w:spacing w:after="0" w:line="125"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Since 2009 and continuing through 2015, a cost advantage for ethane-based ethylene producers over naphtha-based ethylene producers has allowed a strong export market for polyethylene, ethylene derivatives and higher margins for North American chemical producers, including Westlake. Continued strong global demand for polyethylene has resulted in improved operating margins and cash flow for our Olefins segment in recent years. However, we have seen a significant reduction in the cost advantage enjoyed by North American ethane-based ethylene producers due to lower crude oil prices, beginning in the third quarter of 2014 and continuing through 2015. Further, falling crude oil prices have already resulted in reduced prices and margins in 2015 and may continue to do so. However, our European operations rely primarily on feedstock derived from naphtha-based ethylene crackers and may benefit from lower crude oil prices. In addition, looking forward, new olefins capacity additions in Asia, the Middle East and North America, a number of which have been announced in recent years, may lead to periods of over-supply and lower profitability. As a result, our Olefins segment operating margins may be negatively impacted.</w:t>
      </w:r>
    </w:p>
    <w:p>
      <w:pPr>
        <w:spacing w:after="0" w:line="143"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Continued slow recovery in the U.S. construction markets and budgetary constraints in municipal spending have contributed to lower North American demand for our vinyls products, which may continue to negatively impact our Vinyls segment operating rates and margins. Likewise, European industry production capacities currently exceed demand in the region, largely due to the weak economic environment in Europe. However, since late 2010, the PVC industry in North America has experienced an increase in PVC resin export demand, driven largely by more competitive feedstock and energy cost positions in North America. As a consequence, North American PVC resin industry operating rates have improved since 2010, largely due to higher PVC resin export shipments. In addition, the completion of our world-scale Geismar chlor-alkali plant and the ethane feedstock conversion and ethylene expansion project at OpCo's Calvert City ethylene plant, in 2013 and 2014, respectively, as well as the July 2014 acquisition of Vinnolit Holdings GmbH and its subsidiary companies ("Vinnolit"), an integrated global leader in specialty PVC resins, have contributed to improved operating margins and cash flow for our Vinyls segment.</w:t>
      </w:r>
    </w:p>
    <w:p>
      <w:pPr>
        <w:spacing w:after="0" w:line="143"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economic environment in the United States and globally appears to be slowly improving. However, depending on the performance of the global economy in the remainder of 2016 and beyond, our financial condition, results of operations or cash flows may still be negatively impacted. In addition, the European economy has been slower to recover than the U.S. economy.</w:t>
      </w:r>
    </w:p>
    <w:p>
      <w:pPr>
        <w:spacing w:after="0" w:line="12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purchase significant amounts of ethane feedstock, natural gas, ethylene and salt from external suppliers for use in production of basic chemicals in the olefins and vinyls chains. We also purchase significant amounts of electricity to supply the energy required in our production processes. While we have agreements providing for the supply of ethane feedstock, natural gas, ethylene, salt and electricity, the contractual prices for these raw materials and energy vary with market conditions and may be highly volatile. Factors that have caused volatility in our raw material prices in the past, and which may do so in the future include:</w:t>
      </w:r>
    </w:p>
    <w:p>
      <w:pPr>
        <w:spacing w:after="0" w:line="53" w:lineRule="exact"/>
        <w:rPr>
          <w:sz w:val="20"/>
          <w:szCs w:val="20"/>
          <w:color w:val="auto"/>
        </w:rPr>
      </w:pPr>
    </w:p>
    <w:p>
      <w:pPr>
        <w:ind w:left="880" w:hanging="359"/>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feedstock from shale gas and oil drilling;</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supply and demand for crude oil;</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shortages of raw materials due to increasing demand;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ethane and liquefied natural gas exports;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capacity constraints due to higher construction costs for investments, construction delays, strike action or involuntary shutdowns;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1" w:right="29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880" w:hanging="35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general level of business and economic activity;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direct or indirect effect of governmental regulation.</w:t>
      </w:r>
    </w:p>
    <w:p>
      <w:pPr>
        <w:spacing w:after="0" w:line="17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Significant volatility in raw material costs tends to put pressure on product margins as sales price increases could lag behind raw material cost increases. Conversely, when raw material costs decrease, customers may seek immediate relief in the form of lower sales prices. We currently use derivative instruments to reduce price volatility risk on feedstock commodities and lower overall costs. Normally, there is a pricing relationship between a commodity that we process and the feedstock from which it is derived. When this pricing relationship deviates from historical norms, we have from time to time entered into derivative instruments and physical positions in an attempt to take advantage of this relationship.</w:t>
      </w:r>
    </w:p>
    <w:p>
      <w:pPr>
        <w:spacing w:after="0" w:line="119"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Our historical results have been significantly affected by our plant production capacity, our efficient use of that capacity and our ability to increase capacity. Since our inception, we have followed a disciplined growth strategy that focuses on plant acquisitions, new plant construction and internal expansion. We evaluate each expansion project on the basis of its ability to produce sustained returns in excess of our cost of capital and its ability to improve efficiency or reduce operating costs. We also regularly look at acquisition opportunities that would be consistent with or complimentary to our overall business strategies. Depending on the size of the acquisition, any such acquisitions could require external financing.</w:t>
      </w:r>
    </w:p>
    <w:p>
      <w:pPr>
        <w:spacing w:after="0" w:line="119"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As noted above in Item 1A, "Risk Factors," we are subject to extensive environmental regulations, which may impose significant additional costs on our operations in the future. Further, concerns about GHG emissions and their possible effects on climate change has led to the enactment of regulations, and to proposed legislation and additional regulations, that could affect us in the form of increased cost of feedstocks and fuel, other increased costs of production and decreased demand for our products. While we do not expect any of these enactments or proposals to have a material adverse effect on us in the near term, we cannot predict the longer-term effect of any of these regulations or proposals on our future financial condition,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On January 29, 2016, we announced that we had submitted a proposal to Axiall Corporation ("Axiall") on January 25, 2016 to acquire all of the outstanding shares of Axiall for $20.00 per share (comprised of $11.00 in cash and 0.1967 of a Westlake share, which represented a value of $9.00 based on our closing price on January 22, 2016, the last trading day before we made our proposal). The total value of the proposed transaction is approximately $2.9 billion, including the assumption of certain Axiall liabilities, which include approximately $1.5 billion of debt outstanding as of September 30, 2015. Our proposal was not subject to a financing contingency. Axiall rejected our proposal on January 27, 2016. On February 16, 2016, we announced that we notified Axiall of our intention to nominate a slate of ten independent, highly qualified individuals to Axiall's Board of Directors at Axiall's 2016 Annual Meeting. As of February 17, 2016, we held shares representing approximately 4.4% of the outstanding shares of common stock of Axiall.</w:t>
      </w:r>
    </w:p>
    <w:p>
      <w:pPr>
        <w:spacing w:after="0" w:line="11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January 2016, OpCo announced an expansion project to increase the ethylene capacity of its ethylene plant at our Calvert City facility. The expansion is expected to increase ethylene capacity by approximately 70 million pounds annually and is targeted for completion during the first half of 2017. Combined with other incremental capacity increases, the total ethylene capacity of OpCo's ethylene plant at our Calvert City facility is expected to increase to 730 million pounds annually at the completion of this project.</w:t>
      </w:r>
    </w:p>
    <w:p>
      <w:pPr>
        <w:spacing w:after="0" w:line="13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On June 1, 2015, we acquired an additional 35.7% controlling interest in Suzhou Huasu Plastics Co., Ltd. ("Huasu"), a PVC joint venture based near Shanghai, in the People's Republic of China, from INEOS Chlor Vinyls Holdings B.V., increasing our interest in Huasu to 95.0%. Prior to the acquisition of this 35.7% interest, we owned a 59.3% interest in Huasu. Huasu has a combined annual capacity of 300 million pounds of PVC resin and 145 million pounds of PVC film and sheet.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60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r>
      <w:tr>
        <w:trPr>
          <w:trHeight w:val="385"/>
        </w:trPr>
        <w:tc>
          <w:tcPr>
            <w:tcW w:w="6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80" w:type="dxa"/>
            <w:vAlign w:val="bottom"/>
            <w:gridSpan w:val="6"/>
          </w:tcPr>
          <w:p>
            <w:pPr>
              <w:jc w:val="center"/>
              <w:ind w:left="652"/>
              <w:spacing w:after="0"/>
              <w:rPr>
                <w:sz w:val="20"/>
                <w:szCs w:val="20"/>
                <w:color w:val="auto"/>
              </w:rPr>
            </w:pPr>
            <w:r>
              <w:rPr>
                <w:rFonts w:ascii="Arial" w:cs="Arial" w:eastAsia="Arial" w:hAnsi="Arial"/>
                <w:sz w:val="14"/>
                <w:szCs w:val="14"/>
                <w:b w:val="1"/>
                <w:bCs w:val="1"/>
                <w:color w:val="auto"/>
                <w:w w:val="91"/>
              </w:rPr>
              <w:t>(dollars in thousands, except per share data)</w:t>
            </w:r>
          </w:p>
        </w:tc>
        <w:tc>
          <w:tcPr>
            <w:tcW w:w="1140" w:type="dxa"/>
            <w:vAlign w:val="bottom"/>
          </w:tcPr>
          <w:p>
            <w:pPr>
              <w:spacing w:after="0"/>
              <w:rPr>
                <w:sz w:val="24"/>
                <w:szCs w:val="24"/>
                <w:color w:val="auto"/>
              </w:rPr>
            </w:pP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external sales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Olefins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Polyethylene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1,650,964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1,922,535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1,750,292</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Styrene, feedstock and other</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609,149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801,155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803,377</w:t>
            </w:r>
          </w:p>
        </w:tc>
      </w:tr>
      <w:tr>
        <w:trPr>
          <w:trHeight w:val="27"/>
        </w:trPr>
        <w:tc>
          <w:tcPr>
            <w:tcW w:w="6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Olefins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2,260,113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2,723,690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2,553,669</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Vinyls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PVC, caustic soda and other</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1,718,359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1,203,332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800,658</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Building products</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484,864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488,328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405,157</w:t>
            </w:r>
          </w:p>
        </w:tc>
      </w:tr>
      <w:tr>
        <w:trPr>
          <w:trHeight w:val="27"/>
        </w:trPr>
        <w:tc>
          <w:tcPr>
            <w:tcW w:w="6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Vinyls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2,203,223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1,691,660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1,205,815</w:t>
            </w:r>
          </w:p>
        </w:tc>
      </w:tr>
      <w:tr>
        <w:trPr>
          <w:trHeight w:val="297"/>
        </w:trPr>
        <w:tc>
          <w:tcPr>
            <w:tcW w:w="6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4,463,336</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4,415,350</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3,759,484</w:t>
            </w:r>
          </w:p>
        </w:tc>
      </w:tr>
      <w:tr>
        <w:trPr>
          <w:trHeight w:val="271"/>
        </w:trPr>
        <w:tc>
          <w:tcPr>
            <w:tcW w:w="60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Olefins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747,436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1,013,825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833,249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Vinyls</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254,452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142,740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154,684</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(42,061)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(32,574)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(34,469)</w:t>
            </w:r>
          </w:p>
        </w:tc>
      </w:tr>
      <w:tr>
        <w:trPr>
          <w:trHeight w:val="237"/>
        </w:trPr>
        <w:tc>
          <w:tcPr>
            <w:tcW w:w="6080" w:type="dxa"/>
            <w:vAlign w:val="bottom"/>
          </w:tcPr>
          <w:p>
            <w:pPr>
              <w:ind w:left="380"/>
              <w:spacing w:after="0"/>
              <w:rPr>
                <w:sz w:val="20"/>
                <w:szCs w:val="20"/>
                <w:color w:val="auto"/>
              </w:rPr>
            </w:pPr>
            <w:r>
              <w:rPr>
                <w:rFonts w:ascii="Arial" w:cs="Arial" w:eastAsia="Arial" w:hAnsi="Arial"/>
                <w:sz w:val="18"/>
                <w:szCs w:val="18"/>
                <w:color w:val="auto"/>
              </w:rPr>
              <w:t>Total income from operations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959,827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1,123,991</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953,464</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(37,352)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(18,082)</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38,270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6,790</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298,396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398,902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331,747</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665,045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685,016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610,425</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6,493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Westlake Chemical Corporation</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646,010</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678,523</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610,425</w:t>
            </w:r>
          </w:p>
        </w:tc>
      </w:tr>
      <w:tr>
        <w:trPr>
          <w:trHeight w:val="257"/>
        </w:trPr>
        <w:tc>
          <w:tcPr>
            <w:tcW w:w="6080" w:type="dxa"/>
            <w:vAlign w:val="bottom"/>
            <w:tcBorders>
              <w:bottom w:val="single" w:sz="8" w:color="CCEEFF"/>
            </w:tcBorders>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25"/>
                <w:szCs w:val="25"/>
                <w:color w:val="auto"/>
                <w:vertAlign w:val="superscript"/>
              </w:rPr>
              <w:t>(1)</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4.55</w:t>
            </w:r>
          </w:p>
        </w:tc>
      </w:tr>
      <w:tr>
        <w:trPr>
          <w:trHeight w:val="20"/>
        </w:trPr>
        <w:tc>
          <w:tcPr>
            <w:tcW w:w="6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20" w:hanging="412"/>
        <w:spacing w:after="0" w:line="277"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 share data for the year ended December 31, 2013 has been restated to reflect the effect of a two-for-one stock split on March 18, 2014. See Note 9 to the consolidated financial statements for additional information.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0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87"/>
              </w:rPr>
              <w:t>Average Sales</w:t>
            </w: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Volume</w:t>
            </w:r>
          </w:p>
        </w:tc>
        <w:tc>
          <w:tcPr>
            <w:tcW w:w="170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87"/>
              </w:rPr>
              <w:t>Average Sales</w:t>
            </w:r>
          </w:p>
        </w:tc>
        <w:tc>
          <w:tcPr>
            <w:tcW w:w="106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160" w:type="dxa"/>
            <w:vAlign w:val="bottom"/>
            <w:gridSpan w:val="2"/>
            <w:vMerge w:val="continue"/>
          </w:tcPr>
          <w:p>
            <w:pPr>
              <w:spacing w:after="0"/>
              <w:rPr>
                <w:sz w:val="16"/>
                <w:szCs w:val="16"/>
                <w:color w:val="auto"/>
              </w:rPr>
            </w:pPr>
          </w:p>
        </w:tc>
        <w:tc>
          <w:tcPr>
            <w:tcW w:w="17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 sales price and volume percentage change</w:t>
            </w:r>
          </w:p>
        </w:tc>
        <w:tc>
          <w:tcPr>
            <w:tcW w:w="10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from prior year</w:t>
            </w:r>
          </w:p>
        </w:tc>
        <w:tc>
          <w:tcPr>
            <w:tcW w:w="10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Olefins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-29.2 %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Vinyls</w:t>
            </w:r>
          </w:p>
        </w:tc>
        <w:tc>
          <w:tcPr>
            <w:tcW w:w="2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+39.7 %</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Company average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-25.3 %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486"/>
        </w:trPr>
        <w:tc>
          <w:tcPr>
            <w:tcW w:w="4760" w:type="dxa"/>
            <w:vAlign w:val="bottom"/>
          </w:tcPr>
          <w:p>
            <w:pPr>
              <w:spacing w:after="0"/>
              <w:rPr>
                <w:sz w:val="24"/>
                <w:szCs w:val="24"/>
                <w:color w:val="auto"/>
              </w:rPr>
            </w:pPr>
          </w:p>
        </w:tc>
        <w:tc>
          <w:tcPr>
            <w:tcW w:w="2400" w:type="dxa"/>
            <w:vAlign w:val="bottom"/>
            <w:gridSpan w:val="2"/>
          </w:tcPr>
          <w:p>
            <w:pPr>
              <w:jc w:val="right"/>
              <w:ind w:right="1288"/>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23495</wp:posOffset>
            </wp:positionV>
            <wp:extent cx="29584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70"/>
        </w:trPr>
        <w:tc>
          <w:tcPr>
            <w:tcW w:w="77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5"/>
                <w:szCs w:val="25"/>
                <w:b w:val="1"/>
                <w:bCs w:val="1"/>
                <w:color w:val="auto"/>
                <w:vertAlign w:val="superscript"/>
              </w:rPr>
              <w:t>(1)</w:t>
            </w: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43"/>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Ethane (cents/lb)</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8.8</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Propane (cents/lb)</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w:t>
            </w:r>
          </w:p>
        </w:tc>
      </w:tr>
      <w:tr>
        <w:trPr>
          <w:trHeight w:val="270"/>
        </w:trPr>
        <w:tc>
          <w:tcPr>
            <w:tcW w:w="77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5"/>
                <w:szCs w:val="25"/>
                <w:color w:val="auto"/>
                <w:vertAlign w:val="superscript"/>
              </w:rPr>
              <w:t>(2)</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3"/>
                <w:szCs w:val="23"/>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57.1</w:t>
            </w:r>
          </w:p>
        </w:tc>
      </w:tr>
      <w:tr>
        <w:trPr>
          <w:trHeight w:val="270"/>
        </w:trPr>
        <w:tc>
          <w:tcPr>
            <w:tcW w:w="77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Polyethylene (cents/lb) </w:t>
            </w:r>
            <w:r>
              <w:rPr>
                <w:rFonts w:ascii="Arial" w:cs="Arial" w:eastAsia="Arial" w:hAnsi="Arial"/>
                <w:sz w:val="25"/>
                <w:szCs w:val="25"/>
                <w:color w:val="auto"/>
                <w:vertAlign w:val="superscript"/>
              </w:rPr>
              <w:t>(3)</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w:t>
            </w:r>
          </w:p>
        </w:tc>
      </w:tr>
      <w:tr>
        <w:trPr>
          <w:trHeight w:val="270"/>
        </w:trPr>
        <w:tc>
          <w:tcPr>
            <w:tcW w:w="77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Styrene (cents/lb) </w:t>
            </w:r>
            <w:r>
              <w:rPr>
                <w:rFonts w:ascii="Arial" w:cs="Arial" w:eastAsia="Arial" w:hAnsi="Arial"/>
                <w:sz w:val="25"/>
                <w:szCs w:val="25"/>
                <w:color w:val="auto"/>
                <w:vertAlign w:val="superscript"/>
              </w:rPr>
              <w:t>(4)</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3"/>
                <w:szCs w:val="23"/>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83.2</w:t>
            </w:r>
          </w:p>
        </w:tc>
      </w:tr>
      <w:tr>
        <w:trPr>
          <w:trHeight w:val="270"/>
        </w:trPr>
        <w:tc>
          <w:tcPr>
            <w:tcW w:w="77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Caustic ($/short ton) </w:t>
            </w:r>
            <w:r>
              <w:rPr>
                <w:rFonts w:ascii="Arial" w:cs="Arial" w:eastAsia="Arial" w:hAnsi="Arial"/>
                <w:sz w:val="25"/>
                <w:szCs w:val="25"/>
                <w:color w:val="auto"/>
                <w:vertAlign w:val="superscript"/>
              </w:rPr>
              <w:t>(5)</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581.0</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589.4</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604.2</w:t>
            </w:r>
          </w:p>
        </w:tc>
      </w:tr>
      <w:tr>
        <w:trPr>
          <w:trHeight w:val="270"/>
        </w:trPr>
        <w:tc>
          <w:tcPr>
            <w:tcW w:w="77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Chlorine ($/short ton) </w:t>
            </w:r>
            <w:r>
              <w:rPr>
                <w:rFonts w:ascii="Arial" w:cs="Arial" w:eastAsia="Arial" w:hAnsi="Arial"/>
                <w:sz w:val="25"/>
                <w:szCs w:val="25"/>
                <w:color w:val="auto"/>
                <w:vertAlign w:val="superscript"/>
              </w:rPr>
              <w:t>(6)</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266.9</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233.5</w:t>
            </w:r>
          </w:p>
        </w:tc>
        <w:tc>
          <w:tcPr>
            <w:tcW w:w="100" w:type="dxa"/>
            <w:vAlign w:val="bottom"/>
          </w:tcPr>
          <w:p>
            <w:pPr>
              <w:spacing w:after="0"/>
              <w:rPr>
                <w:sz w:val="23"/>
                <w:szCs w:val="23"/>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250.8</w:t>
            </w:r>
          </w:p>
        </w:tc>
      </w:tr>
      <w:tr>
        <w:trPr>
          <w:trHeight w:val="270"/>
        </w:trPr>
        <w:tc>
          <w:tcPr>
            <w:tcW w:w="77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PVC (cents/lb) </w:t>
            </w:r>
            <w:r>
              <w:rPr>
                <w:rFonts w:ascii="Arial" w:cs="Arial" w:eastAsia="Arial" w:hAnsi="Arial"/>
                <w:sz w:val="25"/>
                <w:szCs w:val="25"/>
                <w:color w:val="auto"/>
                <w:vertAlign w:val="superscript"/>
              </w:rPr>
              <w:t>(7)</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60.8</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Industry pricing data was obtained through IHS Chemical. We have not independently verified the data.</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 Chemical.</w:t>
      </w:r>
    </w:p>
    <w:p>
      <w:pPr>
        <w:spacing w:after="0" w:line="63" w:lineRule="exact"/>
        <w:rPr>
          <w:rFonts w:ascii="Arial" w:cs="Arial" w:eastAsia="Arial" w:hAnsi="Arial"/>
          <w:sz w:val="18"/>
          <w:szCs w:val="18"/>
          <w:color w:val="auto"/>
        </w:rPr>
      </w:pPr>
    </w:p>
    <w:p>
      <w:pPr>
        <w:jc w:val="both"/>
        <w:ind w:left="420" w:right="100" w:hanging="412"/>
        <w:spacing w:after="0" w:line="259"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average North American contract prices of polyethylene low density GP-Film grade over the period as reported by IHS Chemical. Effective January 1, 2015, IHS Chemical made a non-market downward adjustment of 21 cents per pound to polyethylene low density GP-Film grade prices. For comparability, we adjusted each prior-year period's polyethylene low density GP-Film grade price downward by 21 cents per pound consistent with the IHS Chemical non-market adjustment.</w:t>
      </w:r>
    </w:p>
    <w:p>
      <w:pPr>
        <w:spacing w:after="0" w:line="24" w:lineRule="exact"/>
        <w:rPr>
          <w:rFonts w:ascii="Arial" w:cs="Arial" w:eastAsia="Arial" w:hAnsi="Arial"/>
          <w:sz w:val="18"/>
          <w:szCs w:val="18"/>
          <w:color w:val="auto"/>
        </w:rPr>
      </w:pPr>
    </w:p>
    <w:p>
      <w:pPr>
        <w:ind w:left="420" w:hanging="412"/>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average North American contract prices of styrene over the period as reported by IHS Chemical.</w:t>
      </w:r>
    </w:p>
    <w:p>
      <w:pPr>
        <w:spacing w:after="0" w:line="63" w:lineRule="exact"/>
        <w:rPr>
          <w:rFonts w:ascii="Arial" w:cs="Arial" w:eastAsia="Arial" w:hAnsi="Arial"/>
          <w:sz w:val="18"/>
          <w:szCs w:val="18"/>
          <w:color w:val="auto"/>
        </w:rPr>
      </w:pPr>
    </w:p>
    <w:p>
      <w:pPr>
        <w:ind w:left="420" w:right="80" w:hanging="412"/>
        <w:spacing w:after="0" w:line="264"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average North American undiscounted contract prices of caustic soda over the period as reported by IHS Chemical. During the first quarter of 2013, IHS Chemical discontinued the previous caustic soda industry index that we used. For comparability, the average 2012 caustic data is based on the current index.</w:t>
      </w:r>
    </w:p>
    <w:p>
      <w:pPr>
        <w:spacing w:after="0" w:line="19" w:lineRule="exact"/>
        <w:rPr>
          <w:rFonts w:ascii="Arial" w:cs="Arial" w:eastAsia="Arial" w:hAnsi="Arial"/>
          <w:sz w:val="18"/>
          <w:szCs w:val="18"/>
          <w:color w:val="auto"/>
        </w:rPr>
      </w:pPr>
    </w:p>
    <w:p>
      <w:pPr>
        <w:ind w:left="420" w:hanging="412"/>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average North American contract prices of chlorine (into chemicals) over the period as reported by IHS Chemical.</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average North American contract prices of PVC over the period as reported by IHS Chemical.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For the year ended December 31, 2015, net income attributable to Westlake Chemical Corporation was $646.0 million, or $4.86 per diluted share, on net sales of $4,463.3 million. This represents a decrease in net income of $32.5 million, or $0.21 per diluted share, from 2014 net income attributable to Westlake Chemical Corporation of $678.5 million, or $5.07 per diluted share, on net sales of $4,415.4 million. Net income for the year ended December 31, 2015 benefited from a net pre-tax gain of $20.4 million, or $0.16 per diluted share, related to the bargain purchase gain from the acquisition of a controlling interest in Huasu, net of related expenses, and a lower effective tax rate primarily due to several discrete tax items and return to provision and other adjustments, which collectively lowered the 2015 effective tax rate to 31.0% as compared to the 2015 effective tax rate on ordinary income of 33.6%. These benefits were more than offset by a decrease of $164.2 million in income from operations for the year ended December 31, 2015. Net sales for the year ended December 31, 2015 increased $47.9 million to $4,463.3 million compared to net sales for the year ended December 31, 2014 of $4,415.4 million, primarily due to sales contributed by our specialty PVC resin business, Vinnolit, which we acquired on July 31, 2014, and higher sales volumes for most of our major products, partially offset by lower sales prices for all our major products. Income from operations was $959.8 million for the year ended December 31, 2015 as compared to $1,124.0 million for the year ended December 31, 2014, a decrease of $164.2 million. The decrease in 2015 income from operations was mainly attributable to lower olefins integrated product margins, primarily caused by lower sales prices, as compared to the prior year, and costs related to several turnarounds, partially offset by the contribution from Vinnolit, increased production at our Calvert City facilities following the completion of OpCo's feedstock conversion and ethylene expansion project, higher production rates at our Geismar chlor-alkali plant and lower feedstock and energy costs, as compared to the prior year. Sales prices for the year ended December 31, 2015 were negatively impacted by the significant decline in crude oil prices.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Compared with 2014</w:t>
      </w:r>
    </w:p>
    <w:p>
      <w:pPr>
        <w:spacing w:after="0" w:line="90"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by $47.9 million, or 1.1%, to $4,463.3 million in 2015 from $4,415.4 million in 2014. This increase was mainly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sales contributed by Vinnolit (primarily as a result of the inclusion of its operations in our consolidated financial statements for the full year 2015 as opposed to only five months in 2014) and, to a lesser extent, Huasu, and higher sales volumes for most of our major products, partially offset by lower sales prices for all our major products, as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compared to the prior year. Average sales prices for 2015 decreased by 25.3% as compared to 2014. Sales prices for the year ended December 31, 2015 were negatively impacted by the significant decline in crude oil prices. Overall sales volume increased by 26.3% in 2015 as compared to 2014.</w:t>
      </w:r>
    </w:p>
    <w:p>
      <w:pPr>
        <w:spacing w:after="0" w:line="93"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margin percentage decreased to 26.6% in 2015 from 29.8% in 2014. The decrease in gross profit margin percentage was</w:t>
      </w:r>
      <w:r>
        <w:rPr>
          <w:rFonts w:ascii="Arial" w:cs="Arial" w:eastAsia="Arial" w:hAnsi="Arial"/>
          <w:sz w:val="16"/>
          <w:szCs w:val="16"/>
          <w:i w:val="1"/>
          <w:iCs w:val="1"/>
          <w:color w:val="auto"/>
        </w:rPr>
        <w:t xml:space="preserve"> </w:t>
      </w:r>
      <w:r>
        <w:rPr>
          <w:rFonts w:ascii="Arial" w:cs="Arial" w:eastAsia="Arial" w:hAnsi="Arial"/>
          <w:sz w:val="16"/>
          <w:szCs w:val="16"/>
          <w:color w:val="auto"/>
        </w:rPr>
        <w:t>mainly the result of lower olefins integrated product margins primarily due to lower sales prices. Sales prices decreased an average of 25.3% for the year ended December 31, 2015 as compared to 2014. In addition, gross profit for the year ended December 31, 2015 was negatively impacted by lost sales, lower production rates, unabsorbed fixed manufacturing costs and other costs associated with turnarounds at our various facilities. The decrease in gross profit for the year ended December 31, 2015 was partially offset by lower average feedstock and energy costs and higher vinyls integrated product margins, primarily attributable to lower feedstock costs, increased production at our Calvert City facilities following the completion of OpCo's feedstock conversion and ethylene expansion project and higher production rates at our Geismar chlor-alkali plant, as compared to the prior year.</w:t>
      </w:r>
    </w:p>
    <w:p>
      <w:pPr>
        <w:spacing w:after="0" w:line="11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$32.0 million, or 16.5%, in 2015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2014. The increase was mainly attributable to general and administrative costs incurred by Vinnolit and, to a lesser extent, Huasu for the year ended December 31, 2015, an increase in payroll and related labor costs, including incentive compensation, and an increase in consulting and professional fees, as compared to 2014.</w:t>
      </w:r>
    </w:p>
    <w:p>
      <w:pPr>
        <w:spacing w:after="0" w:line="133" w:lineRule="exact"/>
        <w:rPr>
          <w:sz w:val="20"/>
          <w:szCs w:val="20"/>
          <w:color w:val="auto"/>
        </w:rPr>
      </w:pPr>
    </w:p>
    <w:p>
      <w:pPr>
        <w:ind w:right="380" w:firstLine="432"/>
        <w:spacing w:after="0" w:line="34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decreased by $2.7 million to $34.7 million in 2015 from $37.4 million in 2014, largely as a result of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capitalized interest on major capital projects in 2015 as compared to 2014. Debt balances during 2015 remained relatively unchanged compared to 2014.</w:t>
      </w:r>
    </w:p>
    <w:p>
      <w:pPr>
        <w:spacing w:after="0" w:line="7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was net income of $38.3 million in 2015 compared to net expense of $2.7 million in 2014,</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the bargain purchase gain from the acquisition of a controlling interest in Huasu, net of related expenses, of approximately $20.4 million, gains on foreign exchange, gains from the sales of securities and dividends received from cost method investments, partially offset by an impairment and loss from the disposition of an equity method investment.</w:t>
      </w:r>
    </w:p>
    <w:p>
      <w:pPr>
        <w:spacing w:after="0" w:line="13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effective income tax rate was 31.0% in 2015 as compared to 36.8% in 2014. The effective income tax rate for 2015 was below the</w:t>
      </w:r>
      <w:r>
        <w:rPr>
          <w:rFonts w:ascii="Arial" w:cs="Arial" w:eastAsia="Arial" w:hAnsi="Arial"/>
          <w:sz w:val="16"/>
          <w:szCs w:val="16"/>
          <w:i w:val="1"/>
          <w:iCs w:val="1"/>
          <w:color w:val="auto"/>
        </w:rPr>
        <w:t xml:space="preserve"> </w:t>
      </w:r>
      <w:r>
        <w:rPr>
          <w:rFonts w:ascii="Arial" w:cs="Arial" w:eastAsia="Arial" w:hAnsi="Arial"/>
          <w:sz w:val="16"/>
          <w:szCs w:val="16"/>
          <w:color w:val="auto"/>
        </w:rPr>
        <w:t>U.S. federal statutory rate of 35.0% primarily due to the benefit of state tax credits, the domestic manufacturing deduction, income attributable to noncontrolling interests, the non-recognition of tax related to the bargain purchase of a controlling interest in Huasu, the foreign earnings rate differential and the increased benefit in certain prior years' deductions due to a change in the calculation methodology of the domestic manufacturing deduction and adjustments related to prior years' tax returns as filed, partially offset by state income taxes. The effective income tax rate for 2014 was above the U.S. federal statutory rate of 35.0% primarily due to state income taxes, partially offset by state tax credits and the domestic manufacturing deduction.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Olefins Segment</w:t>
      </w:r>
    </w:p>
    <w:p>
      <w:pPr>
        <w:spacing w:after="0" w:line="9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decreased by $463.6 million, or 17.0%, to $2,260.1 million in 2015 from $2,723.7 million in 2014, mainly due to lower sales prices</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major products, partially offset by higher sales volumes for our major products as compared to the prior year. Average sales prices for the Olefins segment decreased by 29.2% in 2015 as compared to 2014, while average sales volumes increased by 12.2% in 2015 as compared to 2014.</w:t>
      </w:r>
    </w:p>
    <w:p>
      <w:pPr>
        <w:spacing w:after="0" w:line="11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Income from operations was $747.4 million in 2015 as compared to $1,013.8 million in 2014. This decrease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predominantly attributable to lower olefins integrated product margins, primarily as a result of lower sales prices, partially offset by higher sales volumes and lower feedstock and energy costs for 2015 as compared to 2014. Trading activity for 2015 resulted in a loss of $11.4 million as compared to a loss of $9.7 million for 2014.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Vinyls Segment</w:t>
      </w:r>
    </w:p>
    <w:p>
      <w:pPr>
        <w:spacing w:after="0" w:line="90"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by $511.5 million, or 30.2%, to $2,203.2 million in 2015 from $1,691.7 million in 2014. This increase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sales contributed by Vinnolit and, to a lesser extent, Huasu and higher sales volumes for caustic soda and PVC resin, partially offset by lower sales prices for our major products. Average sales prices for the Vinyls segment decreased by 18.9% in 2015 as compared to 2014. Average sales volumes increased by 49.1% in 2015 as compared to 2014, primarily related to sales contributed by Vinnolit and, to a lesser extent, Huasu, as compared to the prior year.</w:t>
      </w:r>
    </w:p>
    <w:p>
      <w:pPr>
        <w:spacing w:after="0" w:line="134"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Income from operations was $254.5 million in 2015 as compared to $142.7 million in 2014. This increase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higher vinyls integrated product margins for the year ended December 31, 2015, mainly attributable to the contribution from Vinnolit, lower feedstock costs and increased production at our Calvert City facilities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1" w:right="27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following the completion of OpCo's feedstock conversion and ethylene expansion project and higher caustic soda sales volume primarily attributable to higher production rates at our Geismar chlor-alkali plant, as compared to 2014. The increase in income from operations for the year ended December 31, 2015 was partially offset by lost sales, lower production rates and other costs associated with the turnarounds at our various North American and European facilities, lower sales prices for our major products and reduced sales volume in Europe related to an ethylene shortage. Income from operations for 2014 was negatively impacted by the effect of selling higher cost Vinnolit inventory recorded at fair value as a result of the acquisition, the lost sales, lower production rates and other costs associated with the turnaround at our Calvert City facilities and OpCo's Calvert City ethylene plant's feedstock conversion and expansion project and, prior to the completion of OpCo's Calvert City ethylene plant's feedstock conversion project, lower vinyls integrated product margins attributable to significantly higher propane costs.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Compared with 2013</w:t>
      </w:r>
    </w:p>
    <w:p>
      <w:pPr>
        <w:spacing w:after="0" w:line="90"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by $655.9 million, or 17.4%, to $4,415.4 million in 2014 from $3,759.5 million in 2013. This increase was mainly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sales contributed by Vinnolit and North American Specialty Products, higher sales prices for most of our major products and higher ethylene, caustic and polyethylene sales volumes, partially offset by lower ethylene co-products and styrene sales volumes. Ethylene co-products sales volumes were lower in 2014, as compared to the prior year, primarily due to the planned shut-down of OpCo's Calvert City ethylene plant as a result of the feedstock conversion and ethylene expansion project, and the change to ethane feedstock currently utilized at OpCo's Calvert City ethylene plant following the completion of such project in early 2014. Average sales prices for 2014 increased by 5.2% as compared to 2013. Overall sales volume increased by 12.2% in 2014 as compared to 2013.</w:t>
      </w:r>
    </w:p>
    <w:p>
      <w:pPr>
        <w:spacing w:after="0" w:line="135"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margin percentage increased to 29.8% in 2014 from 29.3% in 2013. The improvement in gross profit margin percentage was</w:t>
      </w:r>
      <w:r>
        <w:rPr>
          <w:rFonts w:ascii="Arial" w:cs="Arial" w:eastAsia="Arial" w:hAnsi="Arial"/>
          <w:sz w:val="16"/>
          <w:szCs w:val="16"/>
          <w:i w:val="1"/>
          <w:iCs w:val="1"/>
          <w:color w:val="auto"/>
        </w:rPr>
        <w:t xml:space="preserve"> </w:t>
      </w:r>
      <w:r>
        <w:rPr>
          <w:rFonts w:ascii="Arial" w:cs="Arial" w:eastAsia="Arial" w:hAnsi="Arial"/>
          <w:sz w:val="16"/>
          <w:szCs w:val="16"/>
          <w:color w:val="auto"/>
        </w:rPr>
        <w:t>mainly due to the improved olefins integrated product margins, primarily as a result of higher polyethylene sales prices and the increased ethylene production at our Lake Charles facility after the first quarter 2013 completion of the Petro 2 ethylene unit expansion and its conversion to 100% ethane feedstock capability. In addition, olefins integrated product margins benefited from an increase in sales prices that outpaced increases in feedstock and energy costs in 2014, as compared to the prior year. Our raw material cost in both segments normally tracks industry prices, which experienced an increase of 2.3% and 4.2% for ethane and propane, respectively, in 2014 as compared to 2013. Sales prices increased an average of 5.2% for 2014 as compared to 2013. The gross profit margin for 2014 was negatively impacted by lost sales, lower production rates, unabsorbed fixed manufacturing costs and other costs associated with the turnaround at our Calvert City and Gendorf facilities and OpCo's Calvert City ethylene plant's feedstock conversion and expansion project.</w:t>
      </w:r>
    </w:p>
    <w:p>
      <w:pPr>
        <w:spacing w:after="0" w:line="112"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$45.4 million, or 30.7%, in 2014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2013. The increase was mainly attributable to general and administrative costs incurred by Vinnolit for the period from July 31, 2014 to December 31, 2014, an increase in payroll and related labor costs, including incentive compensation, and an increase in consulting and professional fees, partially offset by a decrease in the provision for doubtful accounts.</w:t>
      </w:r>
    </w:p>
    <w:p>
      <w:pPr>
        <w:spacing w:after="0" w:line="133"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increased by $19.3 million to $37.4 million in 2014 from $18.1 million in 2013, largely due to decreased capitalized</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on major capital projects in 2014 as compared to 2013. Debt balances during 2014 remained relatively unchanged compared to 2013.</w:t>
      </w:r>
    </w:p>
    <w:p>
      <w:pPr>
        <w:spacing w:after="0" w:line="70"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i w:val="1"/>
          <w:iCs w:val="1"/>
          <w:color w:val="auto"/>
        </w:rPr>
        <w:t xml:space="preserve">Other (Expense) Income, Net. </w:t>
      </w:r>
      <w:r>
        <w:rPr>
          <w:rFonts w:ascii="Arial" w:cs="Arial" w:eastAsia="Arial" w:hAnsi="Arial"/>
          <w:sz w:val="17"/>
          <w:szCs w:val="17"/>
          <w:color w:val="auto"/>
        </w:rPr>
        <w:t>Other (expense) income, net was net expense of $2.7 million in 2014 compared to net income of $6.8 million in 2013,</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attributable to higher losses on foreign exchange and the partial impairment of an equity method investment, partially offset by higher income from our other equity method investments and net realized gains from the sales and maturities of available-for-sale securities.</w:t>
      </w:r>
    </w:p>
    <w:p>
      <w:pPr>
        <w:spacing w:after="0" w:line="11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effective income tax rate was 36.8% in 2014 as compared to 35.2% in 2013. The effective income tax rate for 2014 was above the</w:t>
      </w:r>
      <w:r>
        <w:rPr>
          <w:rFonts w:ascii="Arial" w:cs="Arial" w:eastAsia="Arial" w:hAnsi="Arial"/>
          <w:sz w:val="18"/>
          <w:szCs w:val="18"/>
          <w:i w:val="1"/>
          <w:iCs w:val="1"/>
          <w:color w:val="auto"/>
        </w:rPr>
        <w:t xml:space="preserve"> </w:t>
      </w:r>
      <w:r>
        <w:rPr>
          <w:rFonts w:ascii="Arial" w:cs="Arial" w:eastAsia="Arial" w:hAnsi="Arial"/>
          <w:sz w:val="18"/>
          <w:szCs w:val="18"/>
          <w:color w:val="auto"/>
        </w:rPr>
        <w:t>U.S. federal statutory rate of 35.0% primarily due to state income taxes, partially offset by state tax credits and the domestic manufacturing deduction. The effective income tax rate for 2013 was above the U.S. federal statutory rate of 35.0% primarily due to state income taxes, mostly offset by state tax credits and the domestic manufacturing deduction.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Olefins Segment</w:t>
      </w:r>
    </w:p>
    <w:p>
      <w:pPr>
        <w:spacing w:after="0" w:line="90" w:lineRule="exact"/>
        <w:rPr>
          <w:sz w:val="20"/>
          <w:szCs w:val="20"/>
          <w:color w:val="auto"/>
        </w:rPr>
      </w:pPr>
    </w:p>
    <w:p>
      <w:pPr>
        <w:jc w:val="both"/>
        <w:ind w:right="100" w:firstLine="432"/>
        <w:spacing w:after="0" w:line="286"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increased by $170.0 million, or 6.7%, to $2,723.7 million in 2014 from $2,553.7 million in 2013, mainly due to higher sales prices</w:t>
      </w:r>
      <w:r>
        <w:rPr>
          <w:rFonts w:ascii="Arial" w:cs="Arial" w:eastAsia="Arial" w:hAnsi="Arial"/>
          <w:sz w:val="17"/>
          <w:szCs w:val="17"/>
          <w:i w:val="1"/>
          <w:iCs w:val="1"/>
          <w:color w:val="auto"/>
        </w:rPr>
        <w:t xml:space="preserve"> </w:t>
      </w:r>
      <w:r>
        <w:rPr>
          <w:rFonts w:ascii="Arial" w:cs="Arial" w:eastAsia="Arial" w:hAnsi="Arial"/>
          <w:sz w:val="17"/>
          <w:szCs w:val="17"/>
          <w:color w:val="auto"/>
        </w:rPr>
        <w:t>and sales volumes for most of our major products, partially offset by lower styrene sales volumes. Average sales prices for the Olefins segment increased by 7.4% in 2014 as compared to 2013, while average sales volumes decreased marginally by 0.8% in 2014 as compared to 2013.</w:t>
      </w:r>
    </w:p>
    <w:p>
      <w:pPr>
        <w:spacing w:after="0" w:line="111" w:lineRule="exact"/>
        <w:rPr>
          <w:sz w:val="20"/>
          <w:szCs w:val="20"/>
          <w:color w:val="auto"/>
        </w:rPr>
      </w:pPr>
    </w:p>
    <w:p>
      <w:pPr>
        <w:ind w:right="1040" w:firstLine="432"/>
        <w:spacing w:after="0" w:line="277"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Income from operations was $1,013.8 million in 2014 as compared to $833.2 million in 2013. This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predominantly driven by improved olefins integrated product margins, primarily as a result of the increased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ethylene production at our Lake Charles facility after the first quarter 2013 completion of the Petro 2 ethylene unit expansion and its conversion to 100% ethane feedstock capability. In addition, olefins integrated product margins benefited from an increase in sales prices that outpaced increases in feedstock and energy costs as average sales prices for the Olefins segment increased by 7.4% in 2014 as compared to 2013. Trading activity for 2014 resulted in a loss of $9.7 million as compared to a gain of $5.4 million for 2013. Income from operations for 2013 was negatively impacted by the lost production and the expensing of $19.9 million related to unabsorbed fixed manufacturing costs and other costs associated with the turnaround and expansion of the Petro 2 ethylene unit.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Vinyls Segment</w:t>
      </w:r>
    </w:p>
    <w:p>
      <w:pPr>
        <w:spacing w:after="0" w:line="90"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by $485.9 million, or 40.3%, to $1,691.7 million in 2014 from $1,205.8 million in 2013. This increase was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to sales contributed by Vinnolit and North American Specialty Products, higher caustic sales volumes and higher PVC resin sales prices, partially offset by lower OpCo ethylene co-products sales volumes. OpCo's ethylene co-products sales volumes were lower in 2014, as compared to 2013, primarily due to the planned shutdown of OpCo's Calvert City ethylene plant as a result of the feedstock conversion and ethylene expansion project and the ethane feedstock currently utilized at OpCo's Calvert City ethylene plant following the completion of such project. Average sales prices for the Vinyls segment increased marginally by 0.6% in 2014 as compared to 2013, while average sales volumes increased by 39.7% in 2014 as compared to 2013.</w:t>
      </w:r>
    </w:p>
    <w:p>
      <w:pPr>
        <w:spacing w:after="0" w:line="11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i w:val="1"/>
          <w:iCs w:val="1"/>
          <w:color w:val="auto"/>
        </w:rPr>
        <w:t>Income from Operations</w:t>
      </w:r>
      <w:r>
        <w:rPr>
          <w:rFonts w:ascii="Arial" w:cs="Arial" w:eastAsia="Arial" w:hAnsi="Arial"/>
          <w:sz w:val="17"/>
          <w:szCs w:val="17"/>
          <w:color w:val="auto"/>
        </w:rPr>
        <w:t>. Income from operations was $142.7 million in 2014 as compared to $154.7 million in 2013. This decrease was mainly caused</w:t>
      </w:r>
      <w:r>
        <w:rPr>
          <w:rFonts w:ascii="Arial" w:cs="Arial" w:eastAsia="Arial" w:hAnsi="Arial"/>
          <w:sz w:val="17"/>
          <w:szCs w:val="17"/>
          <w:i w:val="1"/>
          <w:iCs w:val="1"/>
          <w:color w:val="auto"/>
        </w:rPr>
        <w:t xml:space="preserve"> </w:t>
      </w:r>
      <w:r>
        <w:rPr>
          <w:rFonts w:ascii="Arial" w:cs="Arial" w:eastAsia="Arial" w:hAnsi="Arial"/>
          <w:sz w:val="17"/>
          <w:szCs w:val="17"/>
          <w:color w:val="auto"/>
        </w:rPr>
        <w:t>by lost sales, lower production rates and the expensing of $27.1 million related to unabsorbed fixed manufacturing costs and other costs associated with the turnaround at our Gendorf and Calvert City facilities and OpCo's Calvert City ethylene plant's feedstock conversion and expansion project. In addition, income from operations for 2014 was negatively impacted by the effect of selling higher cost Vinnolit inventory recorded at fair value and the severe winter weather experienced in early 2014, which resulted in significantly higher propane feedstock costs. The decrease was partially offset by lower feedstock costs at OpCo's Calvert City ethylene plant following the completion of the feedstock conversion and ethylene expansion project and the change in feedstock utilized from propane feedstock to lower-cost ethane feedstock, as compared to the prior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Operating activities provided cash of $1,078.8 million in 2015 compared to cash provided of $1,032.4 million in 2014. The $46.4 million increase in cash flows from operating activities was mainly due to a decrease in working capital requirements, as compared to 2014. Cash flows from operating activities for 2014 were negatively impacted by costs related to the formation and initial public offering of Westlake Partners and costs associated with the acquisition of Vinnolit, our specialty PVC resin business. Changes in components of working capital, which we define for purposes of this cash flow discussion as net accounts receivable, inventories, prepaid expenses and other current assets, less accounts payable and accrued liabilities, provided cash of $128.6 million in 2015, compared to $69.6 million of cash provided in 2014, a favorable change of $59.0 million. The change was mainly due to lower accounts receivable and inventory balances mainly as a result of lower product prices during 2015, partially offset by a decrease in current liabilities (accounts payable and accrued liabilities), as compared to 2014.</w:t>
      </w:r>
    </w:p>
    <w:p>
      <w:pPr>
        <w:spacing w:after="0" w:line="138"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Operating activities provided cash of $1,032.4 million in 2014 compared to $752.7 million in 2013. The $279.7 million increase in cash flows from operating activities was mainly due to an increase in income from operations and a decrease in the use of cash for working capital purposes, as compared to 2013. Income from operations increased by $170.5 million in 2014 as compared to 2013 primarily as a result of higher olefins integrated product margins as compared to the prior year, partially offset by lost sales, lower production rates, unabsorbed fixed manufacturing costs and other costs associated with the turnaround at our Calvert City and Gendorf facilities and OpCo's Calvert City ethylene plant's feedstock conversion and expansion project. Cash flows from operating activities for 2014 were also negatively impacted by costs associated with the formation and initial public offering of Westlake Partners and costs associated with the Vinnolit acquisition. Cash flows from operating activities for 2013 were negatively impacted by deferred turnaround costs from the turnaround of the Petro 2 ethylene unit. Changes in components of working capital provided cash of $69.6 million in 2014, compared to $63.2 million of cash used in 2013, a favorable change of $132.8 million. The change was mainly attributable to a decrease in inventory during 2014 as compared to 2013, primarily due to less higher-cost propane held in inventory, as raw materials or in finished goods, at the end of the year. In addition, Vinnolit's inventory decreased during the period from July 31, 2014 to December 31, 2014 as higher cost inventory recorded at fair value was sold.</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2" w:right="27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Net cash used for investing activities during 2015 was $1,006.2 million as compared to net cash used of $773.2 million in 2014. Capital expenditures were $491.4 million in 2015 compared to $431.1 million in 2014. Purchases of securities in 2015 totaled $605.1 million and were comprised of corporate debt securities, U.S. government debt securities and equity securities. In connection with the Vinnolit acquisition in 2014, we had previously sold similar securities to raise the cash used to purchase Vinnolit. Capital expenditures in 2015 were mainly incurred on the planned upgrade and expansion of OpCo's Petro 1 ethylene unit at our Lake Charles site. Capital expenditures in 2014 were mainly incurred on OpCo's feedstock conversion and ethylene expansion project and our PVC plant expansion project at our Calvert City site and the planned upgrade and expansion of OpCo's Petro 1 ethylene unit at our Lake Charles site. The remaining capital expenditures in 2015 and 2014 primarily related to projects to improve production capacity or reduce costs, maintenance and safety projects and environmental projects at our various facilities. We acquired cash of $15.8 million, net of cash paid, in connection with the acquisition of Huasu. We also received aggregate proceeds of $48.9 million from the sales and maturities of our investments in 2015. Other 2014 activity was primarily related to the acquisition of Vinnolit, the capital expenditures described above, the purchase of securities and the receipt of proceeds from the sales and maturities of our investments.</w:t>
      </w:r>
    </w:p>
    <w:p>
      <w:pPr>
        <w:spacing w:after="0" w:line="129" w:lineRule="exact"/>
        <w:rPr>
          <w:sz w:val="20"/>
          <w:szCs w:val="20"/>
          <w:color w:val="auto"/>
        </w:rPr>
      </w:pPr>
    </w:p>
    <w:p>
      <w:pPr>
        <w:ind w:right="100" w:firstLine="432"/>
        <w:spacing w:after="0" w:line="269" w:lineRule="auto"/>
        <w:rPr>
          <w:sz w:val="20"/>
          <w:szCs w:val="20"/>
          <w:color w:val="auto"/>
        </w:rPr>
      </w:pPr>
      <w:r>
        <w:rPr>
          <w:rFonts w:ascii="Arial" w:cs="Arial" w:eastAsia="Arial" w:hAnsi="Arial"/>
          <w:sz w:val="17"/>
          <w:szCs w:val="17"/>
          <w:color w:val="auto"/>
        </w:rPr>
        <w:t>Net cash used for investing activities during 2014 was $773.2 million as compared to net cash used of $1,002.2 million in 2013, primarily related to lower capital expenditures in 2014 compared to 2013. Capital expenditures were $431.1 million in 2014 compared to $679.2 million in 2013, a decrease mainly attributable to the completion of the new chlor-alkali plant at our Geismar site in December 2013. Capital expenditures in 2014 were mainly incurred on OpCo's feedstock conversion and ethylene expansion project and our PVC plant expansion project at our Calvert City site and the planned upgrade and expansion of OpCo's Petro 1 ethylene unit at our Lake Charles site. Capital expenditures in 2013 were mainly incurred on the construction of the new Geismar chlor-alkali plant, the expansion of the Petro 2 ethylene unit at our Lake Charles site and the feedstock conversion and ethylene furnaces modernization projects at our Calvert City site. The remaining capital expenditures in 2014 and 2013 primarily related to projects to improve production capacity or reduce costs, maintenance and safety projects and environmental projects at our various facilities. We used $611.1 million, net of cash acquired, for the acquisition of Vinnolit. Purchases of securities in 2014 totaled $117.3 million and were comprised of corporate and U.S. government debt securities and equity securities. We also received aggregate proceeds of $342.0 million from the sales and maturities of our investments in 2014. The 2013 activity was primarily related to the acquisition of our specialty PVC pipe business and the purchases of, and the receipt of proceeds from the maturities of, short-term commercial paper.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cash used for financing activities during 2015 was $286.8 million as compared to net cash provided of $164.6 million in 2014. The 2015 activity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was primarily related to the $91.6 million payment of cash dividends, the $14.9 million payment of cash distributions to noncontrolling interests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$162.5 million of cash used for the repurchases of shares of our common stock, partially offset by the receipt of proceeds of $1.1 million from the exercise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options. In addition, we repaid $73.6 million of Huasu's short-term notes payable to banks in connection with the payment of suppliers through letters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partially offset by $53.0 million of proceeds received by Huasu from the issuance of such letters of credit. The 2014 activity was mainly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$286.1 million net proceeds from the initial public offering of Westlake Partners common units and the proceeds from the exercise of stock options, partially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offset by the payment of cash dividends and the repurchase of shares of our common stock.</w:t>
      </w:r>
    </w:p>
    <w:p>
      <w:pPr>
        <w:spacing w:after="0" w:line="157"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Net cash provided by financing activities during 2014 was $164.6 million as compared to net cash used of $79.3 million in 2013. Net proceeds from the issuance of Westlake Partners common units was $286.1 million. The initial public offering represented the sale of 47.8% of the common units in Westlake Partners. See Note 20 to the consolidated financial statements for further discussion of Westlake Partners and its initial public offering. The remaining 2014 activity was primarily related to the $77.7 million payment of cash dividends, the $52.6 million of cash used for the repurchases of shares of our common stock, distributions to the public unit holders of Westlake Partners common units and fees incurred in connection with the amendment and restatement of our revolving credit facility in July 2014, partially offset by proceeds of $5.5 million from the exercise of stock options. The 2013 activity was mainly related to the $55.2 million payment of cash dividends and the $32.9 million of cash used for the repurchases of shares of our common stock, partially offset by proceeds from the exercise of stock options.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90"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principal sources of liquidity are from cash and cash equivalents, investments in current marketable securities, cash from operations, short-term borrowings under our revolving credit facility and our long-term financing.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January 2016, OpCo announced an expansion project to increase the ethylene capacity of its ethylene plant at our Calvert City facility. The expansion is expected to increase ethylene capacity by approximately 70 million pounds annually and is targeted for completion during the first half of 2017. This capital project is currently estimated to cost in the range of $70.0 million to $80.0 million and is expected to be funded with cash on hand, cash flow from operations, and, if necessary, borrowings under each of our and OpCo's revolving credit facility and other external financing. Combined with other incremental capacity increases, the total ethylene capacity of OpCo's ethylene plant at our Calvert City facility is expected to increase to 730 million pounds annually at the completion of this project.</w:t>
      </w:r>
    </w:p>
    <w:p>
      <w:pPr>
        <w:spacing w:after="0" w:line="139"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 April 2011, we announced an expansion program to increase the ethane-based ethylene capacity of both of OpCo's ethylene units at our Lake Charles site. We completed the expansion of the Petro 2 ethylene unit in the first quarter of 2013. OpCo currently plans to begin the upgrade and capacity expansion of its Petro 1 ethylene unit at our Lake Charles site in the second quarter of 2016. This project is currently estimated to cost OpCo in the range of $275.0 million to $335.0 million and is expected to add approximately 250 million pounds of ethylene capacity. The additional capacity from this expansion is expected to provide ethylene for existing internal uses and may also be sold in the merchant market. This capital project is expected to be funded with cash on hand, cash flow from operations, and, if necessary, borrowings under each of our and OpCo's revolving credit facility and other external financing. As of December 31, 2015, OpCo had incurred a total cost of approximately $201.1 million on this capital project.</w:t>
      </w:r>
    </w:p>
    <w:p>
      <w:pPr>
        <w:spacing w:after="0" w:line="124" w:lineRule="exact"/>
        <w:rPr>
          <w:sz w:val="20"/>
          <w:szCs w:val="20"/>
          <w:color w:val="auto"/>
        </w:rPr>
      </w:pPr>
    </w:p>
    <w:p>
      <w:pPr>
        <w:ind w:left="60" w:right="20" w:firstLine="405"/>
        <w:spacing w:after="0" w:line="289" w:lineRule="auto"/>
        <w:rPr>
          <w:sz w:val="20"/>
          <w:szCs w:val="20"/>
          <w:color w:val="auto"/>
        </w:rPr>
      </w:pPr>
      <w:r>
        <w:rPr>
          <w:rFonts w:ascii="Arial" w:cs="Arial" w:eastAsia="Arial" w:hAnsi="Arial"/>
          <w:sz w:val="16"/>
          <w:szCs w:val="16"/>
          <w:color w:val="auto"/>
        </w:rPr>
        <w:t>In August 2011, our Board of Directors authorized a $100.0 million stock repurchase program (the "2011 Program"). As of March 31, 2015, we had repurchased 1,944,161 shares of our common stock for an aggregate purchase price of approximately $100.0 million under the 2011 Program, the full amount of the 2011 Program. In November 2014, our Board of Directors approved a new $250.0 million stock repurchase program (the "2014 Program"). On November 20, 2015, our Board of Directors approved the expansion of the 2014 Program by an additional $150.0 million. As of December 31, 2015, we had repurchased 2,682,489 shares of our common stock for an aggregate purchase price of approximately $162.0 million under the 2014 Program. During the three months ended December 31, 2015, we repurchased 726,618 shares of our common stock for an aggregate purchase price of approximately $40.9 million under the 2014 Program. Purchases under the 2014 Program may be made either through the open market or in privately negotiated transactions. Decisions regarding the amount and the timing of purchases under the 2014 Program will be influenced by our cash on hand, our cash flow from operations, general market conditions and other factors. The 2014 Program may be discontinued by our Board of Directors at any time.</w:t>
      </w:r>
    </w:p>
    <w:p>
      <w:pPr>
        <w:spacing w:after="0" w:line="11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believe that our sources of liquidity as described above will be adequate to fund our normal operations and ongoing capital expenditures. Funding of any potential large expansions or any potential acquisitions would likely necessitate and therefore depend on our ability to obtain additional financing in the future. We may not be able to access additional liquidity at cost effective interest rates due to the volatility of the commercial credit markets. Our management believes that borrowing under our revolving credit facility should be available up to our borrowing base, if needed. At December 31, 2015, the borrowing base of our credit facility was $350.9 million, which is below the maximum borrowing capacity of $400.0 million due to our low carrying amount of accounts receivable and inventory, which make up the borrowing base.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Current Marketable Securities</w:t>
      </w:r>
    </w:p>
    <w:p>
      <w:pPr>
        <w:spacing w:after="0" w:line="90"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As of December 31, 2015, our cash, cash equivalents and current marketable securities totaled $1.2 billion. In addition, we have a revolving credit facility available to supplement cash if needed, as described under "Debt"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90"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As of December 31, 2015, our long-term debt, including current maturities, totaled $764.1 million, consisting of $250.0 million principal amount of 3.60% Notes Due 2022 (less the unamortized discount of $0.8 million), $100.0 million of 6 ½% senior notes due 2029, $250.0 million of 6 ¾% senior notes due 2032, $89.0 million of 6 ½% senior notes due 2035 (the "6 ½% GO Zone Senior Notes Due 2035"), $65.0 million of 6 ½% senior notes due 2035 (the "6 ½% IKE Zone Senior Notes Due 2035") (collectively, but excluding the 3.60% Notes Due 2022, the "Senior Notes") and a $10.9 million loan from the proceeds of tax-exempt waste disposal revenue bonds (supported by an $11.3 million letter of credit). The 6 ½% senior notes due 2029, the 6 ¾% senior notes due 2032, the 6 ½% GO Zone Senior Notes Due 2035 and the 6 ½% IKE Zone Senior Notes Due 2035 evidence and secure our obligations to the Louisiana Local Government Environmental Facility and Development Authority (the "Authority"), a political subdivision of the State of Louisiana, under four loan agreements relating to the issuance of $100.0 million, $250.0 million, $89.0 million and $65.0 million aggregate principal amount of the Authority's tax-exempt revenue bonds, respectively. As of December 31, 2015, debt outstanding under the tax-exempt waste disposal revenue bonds bore interest at a variable rate. As of December 31, 2015, we were in compliance with all of the covenants with respect to the 3.60% Notes Due 2022, the Senior Notes, our waste disposal revenue bonds and our revolving credit facility.</w:t>
      </w:r>
    </w:p>
    <w:p>
      <w:pPr>
        <w:spacing w:after="0" w:line="129"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Our ability to make payments on our indebtedness and to fund planned capital expenditures will depend on our ability to generate cash in the future, which is subject to general economic, financial, competitive, legislative, regulatory and other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factors that are beyond our control. Based on our current level of operations and unless we were to undertake a new expansion or large acquisition, we believe our cash flow from operations, available cash and available borrowings under our revolving credit facility will be adequate to meet our normal operating needs for the foreseeable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9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have a $400.0 million senior secured revolving credit facility. The facility includes a provision permitting us to increase the size of the facility, up to four times, in increments of at least $25.0 million each (up to a maximum of $200.0 million) under certain circumstances if certain lenders agree to commit to such an increase.</w:t>
      </w:r>
    </w:p>
    <w:p>
      <w:pPr>
        <w:spacing w:after="0" w:line="127"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facility allows us to borrow up to (1) 85% of the net amount of eligible accounts receivable, plus (2) the lesser of (a) 70% of the value of the lower of cost or market of eligible inventory, or (b) 85% of the appraised net orderly liquidation value of all eligible inventory, plus (3) 100% of cash held in an account with the agent under the credit facility and subject to a control agreement with the agent, minus (4) such reserves as the agent may establish. The facility includes a $400.0 million sub-limit for letters of credit, and any outstanding letters of credit will be deducted from availability under the facility.</w:t>
      </w:r>
    </w:p>
    <w:p>
      <w:pPr>
        <w:spacing w:after="0" w:line="10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At December 31, 2015, we had no borrowings outstanding under the revolving credit facility. Any borrowings under the facility will bear interest at either LIBOR plus a spread ranging from 1.25% to 1.75%, provided that so long as we are rated investment grade, the margin for LIBOR loans will not exceed 1.50%, or a base rate plus a spread ranging from 0.0% to 0.50%. The revolving credit facility also requires an unused commitment fee of 0.25% per annum. All interest rates under the facility are subject to monthly grid pricing adjustments based on prior month average daily loan availability. The revolving credit facility matures on July 17, 2019. As of December 31, 2015, we had outstanding letters of credit totaling $30.1 million and borrowing availability of $320.8 million under the revolving credit facility.</w:t>
      </w:r>
    </w:p>
    <w:p>
      <w:pPr>
        <w:spacing w:after="0" w:line="139"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Our revolving credit facility generally restricts our ability to make distributions unless, on a pro forma basis after giving effect to the distribution, the borrowing availability under the facility equals or exceeds the greater of (1) 20% of the commitments under the facility and (2) $80.0 million; or the borrowing availability under the facility equals or exceeds the greater of (1) 15% of the commitments under the facility and (2) $60.0 million, and our fixed charge coverage ratio is at least 1.0:1. However, we may make specified distributions up to an aggregate of $82.7 million in 2016, to be increased by 5% in each fiscal year thereafter, on an aggregate basis, for each fiscal year.</w:t>
      </w:r>
    </w:p>
    <w:p>
      <w:pPr>
        <w:spacing w:after="0" w:line="134" w:lineRule="exact"/>
        <w:rPr>
          <w:sz w:val="20"/>
          <w:szCs w:val="20"/>
          <w:color w:val="auto"/>
        </w:rPr>
      </w:pPr>
    </w:p>
    <w:p>
      <w:pPr>
        <w:ind w:right="60" w:firstLine="432"/>
        <w:spacing w:after="0" w:line="284" w:lineRule="auto"/>
        <w:rPr>
          <w:sz w:val="20"/>
          <w:szCs w:val="20"/>
          <w:color w:val="auto"/>
        </w:rPr>
      </w:pPr>
      <w:r>
        <w:rPr>
          <w:rFonts w:ascii="Arial" w:cs="Arial" w:eastAsia="Arial" w:hAnsi="Arial"/>
          <w:sz w:val="16"/>
          <w:szCs w:val="16"/>
          <w:color w:val="auto"/>
        </w:rPr>
        <w:t>In order to make acquisitions or investments, our revolving credit facility provides that (1) we must maintain a minimum borrowing availability of at least the greater of $60.0 million or 15% of the total bank commitments under our revolving credit facility or (2) we must maintain a minimum borrowing availability of at least the greater of $50.0 million or 12.5% of the total bank commitments under our revolving credit facility and meet a minimum fixed charge coverage ratio of 1.0:1 under our revolving credit facility. Notwithstanding the foregoing, we may make investments in the aggregate up to the greater of $50.0 million and 1.25% of tangible assets and acquisitions in the aggregate up to the greater of $100.0 million and 2.5% of tangible assets, if, on a pro forma basis after giving effect to the acquisition or investment, either (X) the borrowing availability under the facility equals or exceeds the greater of (A)</w:t>
      </w:r>
    </w:p>
    <w:p>
      <w:pPr>
        <w:spacing w:after="0" w:line="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12.5% of the total bank commitments under the facility and (B) $50.0 million, but is less than the greater of (A) 15% of the total bank commitments and (B) $60.0 million, or (Y) our fixed charge coverage ratio is at least 1.0:1.</w:t>
      </w:r>
    </w:p>
    <w:p>
      <w:pPr>
        <w:spacing w:after="0" w:line="13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revolving credit facility contains other customary covenants and events of default that impose significant operating and financial restrictions on us. These restrictions, among other things, provide limitations on the occurrence of additional indebtedness and our ability to create liens, to engage in certain affiliate transactions and to engage in sale-leaseback transactions.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3.60% Senior Notes due 2022</w:t>
      </w:r>
    </w:p>
    <w:p>
      <w:pPr>
        <w:spacing w:after="0" w:line="90"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In July 2012, we issued $250.0 million aggregate principal amount of the 3.60% Notes Due 2022. The 3.60% Notes Due 2022 are unsecured and were issued with an original issue discount of $1.2 million. There is no sinking fund and no scheduled amortization of the 3.60% Notes Due 2022 prior to maturity. We may optionally redeem the 3.60% Notes Due 2022 at any time and from time to time prior to April 15, 2022 (three months prior to the maturity date) for 100% of the principal plus accrued interest and a discounted "make whole" payment. On or after April 15, 2022, we may optionally redeem the 3.60% Notes Due 2022 for 100% of the principal plus accrued interest. The holders of the 3.60% Notes Due 2022 may require us to repurchase the 3.60% Notes Due 2022 at a price of 101% of their principal amount, plus accrued and unpaid interest to the date of repurchase, upon the occurrence of both a "change of control" and, within 60 days of such change of control, a "below investment grade rating event" (as such terms are defined in the indenture governing the 3.60% Notes Due 2022). All of our domestic subsidiaries that guarantee other indebtedness of ours or of another guarantor of the 3.60% Notes Due 2022 in excess of $5.0 million are guarantors of the 3.60% Notes Due 2022.</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The indenture governing the 3.60% Notes Due 2022 contains customary events of default and covenants that will restrict our and certain of our subsidiaries' ability to (1) incur certain secured indebtedness, (2) engage in certain sale-leaseback transactions and (3) consolidate, merge or transfer all or substantially all of our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 Zone Bonds</w:t>
      </w:r>
    </w:p>
    <w:p>
      <w:pPr>
        <w:spacing w:after="0" w:line="90"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In December 2010, the Authority completed the offering of $89.0 million of 6 ½% tax-exempt revenue bonds due November 1, 2035 under the Gulf Opportunity Zone Act of 2005 (the "GO Zone Act"). The bonds are subject to optional redemption by the Authority upon the direction of the Company at any time prior to November 1, 2020 for 100% of the principal plus accrued interest and a discounted "make whole" payment. On or after November 1, 2020, the bonds are subject to optional redemption by the Authority upon the direction of the Company for 100% of the principal plus accrued interest.</w:t>
      </w:r>
    </w:p>
    <w:p>
      <w:pPr>
        <w:spacing w:after="0" w:line="10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July 2010, the Authority completed the reoffering of $100.0 million of 6 ½% tax-exempt revenue bonds due August 1, 2029 under the GO Zone Act. The bonds are subject to optional redemption by the Authority upon the direction of the Company at any time prior to August 1, 2020 for 100% of the principal plus accrued interest and a discounted "make whole" payment. On or after August 1, 2020, the bonds are subject to optional redemption by the Authority upon the direction of the Company for 100% of the principal plus accrued interest.</w:t>
      </w:r>
    </w:p>
    <w:p>
      <w:pPr>
        <w:spacing w:after="0" w:line="133"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8"/>
          <w:szCs w:val="18"/>
          <w:color w:val="auto"/>
        </w:rPr>
        <w:t>In December 2007, the Authority issued $250.0 million of 6 ¾% tax-exempt revenue bonds due November 1, 2032 under the GO Zone Act. The bonds are subject to optional redemption by the Authority upon the direction of the Company at any time prior to November 1, 2017 for 100% of the principal plus accrued interest and a discounted "make whole" payment. On or after November 1, 2017, the bonds are subject to optional redemption by the Authority upon the direction of the Company for 100% of the principal plus accrued interest.</w:t>
      </w:r>
    </w:p>
    <w:p>
      <w:pPr>
        <w:spacing w:after="0" w:line="133"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Each series of the bonds is subject to redemption and the holders may require the bonds to be repurchased upon a change of control or a change in or loss of the current tax status of the bonds. In addition, the bonds are subject to optional redemption by the Authority upon the direction of the Company if certain events have occurred in connection with the operation of the projects for which the bond proceeds may be used, including if the Company has determined that the continued operation of any material portion of the projects would be impracticable, uneconomical or undesirable for any reason.</w:t>
      </w:r>
    </w:p>
    <w:p>
      <w:pPr>
        <w:spacing w:after="0" w:line="100"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In connection with each offering of the bonds, we entered into a loan agreement with the Authority pursuant to which we agreed to pay all of the principal, premium, if any, and interest on the bonds and certain other amounts to the Authority. The net proceeds from the offerings were lent by the Authority to us. We used the proceeds to expand, refurbish and maintain certain of our facilities in the Louisiana Parishes of Calcasieu and Ascension. The bonds are unsecured and rank equally in right of payment with other existing and future unsecured senior indebtedness. All domestic restricted subsidiaries that guarantee other debt of ours or of another guarantor of the Senior Notes in excess of $5.0 million are guarantors of the bonds. As of December 31, 2015, we had drawn all the proceeds from the 6 ½% bonds due 2029, 6 ¾% bonds due 2032 and 6 ½% bonds due 2035.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IKE Zone Bonds</w:t>
      </w:r>
    </w:p>
    <w:p>
      <w:pPr>
        <w:spacing w:after="0" w:line="9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In December 2010, the Authority completed the offering of $65.0 million of 6 ½% tax-exempt revenue bonds due November 1, 2035 under Section 704 of the Emergency Economic Stabilization Act of 2008. The bonds are subject to optional redemption by the Authority upon the direction of the Company at any time prior to November 1, 2020 for 100% of the principal plus accrued interest and a discounted "make whole" payment. On or after November 1, 2020, the bonds are subject to optional redemption by the Authority upon the direction of the Company for 100% of the principal plus accrued interest. The bonds are subject to redemption, repurchase by the holders upon a change of control or a change in or loss of the current tax status of the bonds and optional redemption by the Authority under terms substantially similar to the terms for the GO Zone Bonds.</w:t>
      </w:r>
    </w:p>
    <w:p>
      <w:pPr>
        <w:spacing w:after="0" w:line="124"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 connection with the offering of the bonds, we entered into a loan agreement with the Authority pursuant to which we agreed to pay all of the principal, premium, if any, and interest on the bonds and certain other amounts to the Authority. The net proceeds from the offering were lent by the Authority to us. We used the proceeds to expand, refurbish and maintain certain of our facilities in the Louisiana Parish of Calcasieu. The 6 ½% IKE Zone Senior Notes Due 2035 are unsecured and rank equally in right of payment with other existing and future unsecured senior indebtedness. All domestic restricted subsidiaries that guarantee other debt of ours or of another guarantor of the Senior Notes in excess of $5.0 million are guarantors of the 6 ½% IKE Zone Senior Notes Due 2035. As of December 31, 2015, we had drawn all the proceeds from the 6 ½% IKE Zone Senior Notes Due 2035.</w:t>
      </w:r>
    </w:p>
    <w:p>
      <w:pPr>
        <w:spacing w:after="0" w:line="111"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 indentures governing the Senior Notes contain customary covenants and events of default. Accordingly, these agreements generally impose significant operating and financial restrictions on us. These restrictions, among other things,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provide limitations on incurrence of additional indebtedness, the payment of dividends, certain investments and acquisitions and sales of assets. However, the effectiveness of certain of these restrictions is currently suspended because the Senior Notes are currently rated investment grade by at least two nationally recognized credit rating agencies. The most significant of these provisions, if it were currently effective, would restrict us from incurring additional debt, except specified permitted debt (including borrowings under our credit facility), when our fixed charge coverage ratio is below 2.0:1. These limitations are subject to a number of important qualifications and exceptions, including, without limitation, an exception for the payment of our regular quarterly dividend of up to $0.10 per share. If the restrictions were currently effective, distributions in excess of $100.0 million would not be allowed unless, after giving pro forma effect to the distribution, our fixed charge coverage ratio is at least 2.0:1 and such payment, together with the aggregate amount of all other distributions after January 13, 2006, is less than the sum of 50% of our consolidated net income for the period from October 1, 2003 to the end of the most recent quarter for which financial statements have been filed, plus 100% of net cash proceeds received after October 1, 2003 as a contribution to our common equity capital or from the issuance or sale of certain securities, plus several other adjustments.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Bonds</w:t>
      </w:r>
    </w:p>
    <w:p>
      <w:pPr>
        <w:spacing w:after="0" w:line="90"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In December 1997, we entered into a loan agreement with a public trust established for public purposes for the benefit of the Parish of Calcasieu, Louisiana. The public trust issued $10.9 million principal amount of tax-exempt waste disposal revenue bonds in order to finance our construction of waste disposal facilities for an ethylene plant. The waste disposal revenue bonds expire in December 2027 and are subject to redemption and mandatory tender for purchase prior to maturity under certain conditions. Interest on the waste disposal revenue bonds accrues at a rate determined by a remarketing agent and is payable quarterly. The interest rate on the waste disposal revenue bonds at December 31, 2015 and 2014 was 0.07% and 0.05%,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Westlake Partners Credit Arrangements</w:t>
      </w:r>
    </w:p>
    <w:p>
      <w:pPr>
        <w:spacing w:after="0" w:line="90"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Our subsidiary, Westlake Chemical Finance Corporation, is the lender party to a $300.0 million revolving credit facility with Westlake Partners, entered into on April 29, 2015. The revolving credit facility matures on April 29, 2018. Borrowings under the revolver bear interest at LIBOR plus a spread ranging from 2.0% to 3.0% (depending on Westlake Partners' consolidated leverage ratio), payable quarterly. Westlake Partners may pay all or a portion of the interest on any borrowings in kind, in which case any such amounts would be added to the principal amount of the loan. As of December 31, 2015, outstanding borrowings under the credit facility totaled $135.3 million and bore interest at the LIBOR rate plus 2.0%.</w:t>
      </w:r>
    </w:p>
    <w:p>
      <w:pPr>
        <w:spacing w:after="0" w:line="11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Our subsidiary, Westlake Development Corporation, is the lender party to a $600.0 million revolving credit facility with OpCo. The revolving credit facility matures in 2019. As of December 31, 2015, outstanding borrowings under the credit facility totaled $216.9 million and bore interest at the LIBOR rate plus 3.0%, which is accrued in arrears quarterly.</w:t>
      </w:r>
    </w:p>
    <w:p>
      <w:pPr>
        <w:spacing w:after="0" w:line="12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We consolidate Westlake Partners and OpCo for financial reporting purposes as we have a controlling financial interest. As such, the revolving credit facilities described above between our subsidiaries and Westlake Partners and OpCo are eliminated upon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90"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In addition to long-term debt, we are required to make payments relating to various types of obligations. The following table summarizes our contractual obligations as of December 31, 2015 relating to long-term debt, operating leases, capital leases, pension benefits funding, post-retirement healthcare benefits, purchase obligations and interest payments for the next five years and thereafter. The amounts do not include deferred charges and other items classified in other liabilities in the consolidated balance sheet due to the uncertainty of the future payment schedule.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3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Payment Due by Period</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2"/>
              </w:rPr>
              <w:t>2017-2018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2019-2020</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Thereafter</w:t>
            </w:r>
          </w:p>
        </w:tc>
      </w:tr>
      <w:tr>
        <w:trPr>
          <w:trHeight w:val="379"/>
        </w:trPr>
        <w:tc>
          <w:tcPr>
            <w:tcW w:w="10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(dollars in millions)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5"/>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764.1</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756.2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582.3</w:t>
            </w: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Pension benefits funding</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75.2</w:t>
            </w: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Post-retirement healthcare benefits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Purchase obligations</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6,998.1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1,283.8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964.4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812.4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3,937.5</w:t>
            </w: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payments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418.8</w:t>
            </w:r>
          </w:p>
        </w:tc>
      </w:tr>
      <w:tr>
        <w:trPr>
          <w:trHeight w:val="297"/>
        </w:trPr>
        <w:tc>
          <w:tcPr>
            <w:tcW w:w="41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9,256.1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1,375.2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1,135.7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960.5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5,784.7</w:t>
            </w:r>
          </w:p>
        </w:tc>
      </w:tr>
      <w:tr>
        <w:trPr>
          <w:trHeight w:val="23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Commercial Commitments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Standby letters of credit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30.1</w:t>
            </w:r>
          </w:p>
        </w:tc>
        <w:tc>
          <w:tcPr>
            <w:tcW w:w="36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0"/>
        </w:trPr>
        <w:tc>
          <w:tcPr>
            <w:tcW w:w="1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i w:val="1"/>
          <w:iCs w:val="1"/>
          <w:color w:val="auto"/>
        </w:rPr>
        <w:t>Long-Term Debt</w:t>
      </w:r>
      <w:r>
        <w:rPr>
          <w:rFonts w:ascii="Arial" w:cs="Arial" w:eastAsia="Arial" w:hAnsi="Arial"/>
          <w:sz w:val="17"/>
          <w:szCs w:val="17"/>
          <w:color w:val="auto"/>
        </w:rPr>
        <w:t>. Long-term debt consists of the 3.60% Notes Due 2022, the 6 ½% senior notes due 2029, the 6 ¾% senior notes due 2032, the 6 ½%</w:t>
      </w:r>
      <w:r>
        <w:rPr>
          <w:rFonts w:ascii="Arial" w:cs="Arial" w:eastAsia="Arial" w:hAnsi="Arial"/>
          <w:sz w:val="17"/>
          <w:szCs w:val="17"/>
          <w:i w:val="1"/>
          <w:iCs w:val="1"/>
          <w:color w:val="auto"/>
        </w:rPr>
        <w:t xml:space="preserve"> </w:t>
      </w:r>
      <w:r>
        <w:rPr>
          <w:rFonts w:ascii="Arial" w:cs="Arial" w:eastAsia="Arial" w:hAnsi="Arial"/>
          <w:sz w:val="17"/>
          <w:szCs w:val="17"/>
          <w:color w:val="auto"/>
        </w:rPr>
        <w:t>GO Zone Senior Notes Due 2035, the 6 ½% IKE Zone Senior Notes Due 2035 and the tax-exempt waste disposal revenue bonds.</w:t>
      </w:r>
    </w:p>
    <w:p>
      <w:pPr>
        <w:spacing w:after="0" w:line="93"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lease various facilities and equipment under noncancelable operating leases (primarily related to rail car leases and land) for</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periods.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This includes scheduled installments of principal and imputed interest on our capital lease obligations.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Pension Benefits Funding. </w:t>
      </w:r>
      <w:r>
        <w:rPr>
          <w:rFonts w:ascii="Arial" w:cs="Arial" w:eastAsia="Arial" w:hAnsi="Arial"/>
          <w:sz w:val="16"/>
          <w:szCs w:val="16"/>
          <w:color w:val="auto"/>
        </w:rPr>
        <w:t>We have defined benefit pension plans which cover certain eligible employees in the United States and non-U.S. countries.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the discussion in Note 11 to the consolidated financial statements for more information.</w:t>
      </w:r>
    </w:p>
    <w:p>
      <w:pPr>
        <w:spacing w:after="0" w:line="15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i w:val="1"/>
          <w:iCs w:val="1"/>
          <w:color w:val="auto"/>
        </w:rPr>
        <w:t xml:space="preserve">Post-retirement Healthcare Benefits. </w:t>
      </w:r>
      <w:r>
        <w:rPr>
          <w:rFonts w:ascii="Arial" w:cs="Arial" w:eastAsia="Arial" w:hAnsi="Arial"/>
          <w:sz w:val="18"/>
          <w:szCs w:val="18"/>
          <w:color w:val="auto"/>
        </w:rPr>
        <w:t>We provide post-retirement healthcare benefits to the employees of two subsidiaries who meet certain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age and service requirements. See the discussion in Note 11 to the consolidated financial statements for more information.</w:t>
      </w:r>
    </w:p>
    <w:p>
      <w:pPr>
        <w:spacing w:after="0" w:line="116"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i w:val="1"/>
          <w:iCs w:val="1"/>
          <w:color w:val="auto"/>
        </w:rPr>
        <w:t xml:space="preserve">Purchase Obligations. </w:t>
      </w:r>
      <w:r>
        <w:rPr>
          <w:rFonts w:ascii="Arial" w:cs="Arial" w:eastAsia="Arial" w:hAnsi="Arial"/>
          <w:sz w:val="17"/>
          <w:szCs w:val="17"/>
          <w:color w:val="auto"/>
        </w:rPr>
        <w:t>Purchase obligations include agreements to purchase goods and services that are enforceable and legally binding and that specify</w:t>
      </w:r>
      <w:r>
        <w:rPr>
          <w:rFonts w:ascii="Arial" w:cs="Arial" w:eastAsia="Arial" w:hAnsi="Arial"/>
          <w:sz w:val="17"/>
          <w:szCs w:val="17"/>
          <w:i w:val="1"/>
          <w:iCs w:val="1"/>
          <w:color w:val="auto"/>
        </w:rPr>
        <w:t xml:space="preserve"> </w:t>
      </w:r>
      <w:r>
        <w:rPr>
          <w:rFonts w:ascii="Arial" w:cs="Arial" w:eastAsia="Arial" w:hAnsi="Arial"/>
          <w:sz w:val="17"/>
          <w:szCs w:val="17"/>
          <w:color w:val="auto"/>
        </w:rPr>
        <w:t>all significant terms, including a minimum quantity and price. We are party to various obligations to purchase goods and services, including commitments to purchase various feedstock, utilities, nitrogen, oxygen, product storage, pipeline usage and logistic support, in each case in the ordinary course of our business, as well as various purchase commitments for our capital projects. The amounts shown in the table above reflect our estimates based on the contractual quantities and the prices in effect under contractual agreements as of December 31, 2015.</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Interest Payments. </w:t>
      </w:r>
      <w:r>
        <w:rPr>
          <w:rFonts w:ascii="Arial" w:cs="Arial" w:eastAsia="Arial" w:hAnsi="Arial"/>
          <w:sz w:val="17"/>
          <w:szCs w:val="17"/>
          <w:color w:val="auto"/>
        </w:rPr>
        <w:t>Interest payments are based on interest rates in effect at December 31, 2015 and assume contractual amortization payments.</w:t>
      </w:r>
    </w:p>
    <w:p>
      <w:pPr>
        <w:spacing w:after="0" w:line="18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i w:val="1"/>
          <w:iCs w:val="1"/>
          <w:color w:val="auto"/>
        </w:rPr>
        <w:t xml:space="preserve">Standby Letters of Credit. </w:t>
      </w:r>
      <w:r>
        <w:rPr>
          <w:rFonts w:ascii="Arial" w:cs="Arial" w:eastAsia="Arial" w:hAnsi="Arial"/>
          <w:sz w:val="18"/>
          <w:szCs w:val="18"/>
          <w:color w:val="auto"/>
        </w:rPr>
        <w:t>This includes (1) our obligation under an $11.3 million letter of credit issued in connection with the $10.9 million tax-exempt</w:t>
      </w:r>
      <w:r>
        <w:rPr>
          <w:rFonts w:ascii="Arial" w:cs="Arial" w:eastAsia="Arial" w:hAnsi="Arial"/>
          <w:sz w:val="18"/>
          <w:szCs w:val="18"/>
          <w:i w:val="1"/>
          <w:iCs w:val="1"/>
          <w:color w:val="auto"/>
        </w:rPr>
        <w:t xml:space="preserve"> </w:t>
      </w:r>
      <w:r>
        <w:rPr>
          <w:rFonts w:ascii="Arial" w:cs="Arial" w:eastAsia="Arial" w:hAnsi="Arial"/>
          <w:sz w:val="18"/>
          <w:szCs w:val="18"/>
          <w:color w:val="auto"/>
        </w:rPr>
        <w:t>waste disposal revenue bonds and (2) other letters of credit totaling $24.2 million issued primarily to support commercial obligations and obligations under our insurance programs, including workers' compensation claims.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Critical accounting policies are those that are important to our financial condition and require management's most difficult, subjective or complex judgments. Different amounts would be reported under different operating conditions or under alternative assumptions. We have evaluated the accounting policies used in the preparation of the accompanying consolidated financial statements and related notes and believe those policies are reasonable and appropriate.</w:t>
      </w:r>
    </w:p>
    <w:p>
      <w:pPr>
        <w:spacing w:after="0" w:line="13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apply those accounting policies that we believe best reflect the underlying business and economic events, consistent with GAAP. Our more critical accounting policies include those related to long-lived assets, fair value estimates, accruals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4"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long-term employee benefits, accounts receivable, income taxes and environmental and legal obligations. Inherent in such policies are certain key assumptions and estimates. We periodically update the estimates used in the preparation of the financial statements based on our latest assessment of the current and projected business and general economic environment. Our significant accounting policies are summarized in Note 1 to the audited consolidated financial statements appearing elsewhere in this Form 10-K. We believe the following to be our most critical accounting policies applied in the preparation of our financial statements.</w:t>
      </w:r>
    </w:p>
    <w:p>
      <w:pPr>
        <w:spacing w:after="0" w:line="134" w:lineRule="exact"/>
        <w:rPr>
          <w:sz w:val="20"/>
          <w:szCs w:val="20"/>
          <w:color w:val="auto"/>
        </w:rPr>
      </w:pPr>
    </w:p>
    <w:p>
      <w:pPr>
        <w:ind w:right="280" w:firstLine="432"/>
        <w:spacing w:after="0" w:line="276" w:lineRule="auto"/>
        <w:rPr>
          <w:sz w:val="20"/>
          <w:szCs w:val="20"/>
          <w:color w:val="auto"/>
        </w:rPr>
      </w:pPr>
      <w:r>
        <w:rPr>
          <w:rFonts w:ascii="Arial" w:cs="Arial" w:eastAsia="Arial" w:hAnsi="Arial"/>
          <w:sz w:val="17"/>
          <w:szCs w:val="17"/>
          <w:i w:val="1"/>
          <w:iCs w:val="1"/>
          <w:color w:val="auto"/>
        </w:rPr>
        <w:t xml:space="preserve">Long-Lived Assets. </w:t>
      </w:r>
      <w:r>
        <w:rPr>
          <w:rFonts w:ascii="Arial" w:cs="Arial" w:eastAsia="Arial" w:hAnsi="Arial"/>
          <w:sz w:val="17"/>
          <w:szCs w:val="17"/>
          <w:color w:val="auto"/>
        </w:rPr>
        <w:t>Key estimates related to long-lived assets include useful lives, recoverability of carrying values and existence of any retirement</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Such estimates could be significantly modified. The carrying values of long-lived assets could be impaired by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United States and world economies, the cyclical nature of the chemical and refining industries and uncertainties associated with governmental actions.</w:t>
      </w:r>
    </w:p>
    <w:p>
      <w:pPr>
        <w:spacing w:after="0" w:line="119"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We evaluate long-lived assets for potential impairment indicators whenever events or changes in circumstances indicate that the carrying amount of an asset may not be recoverable, including when negative conditions such as significant current or projected operating losses exist. Our judgments regarding the existence of impairment indicators are based on legal factors, market conditions and the operational performance of our businesses. Actual impairment losses incurred could vary significantly from amounts estimated. Long-lived assets assessed for impairment are grouped at the lowest level for which identifiable cash flows are largely independent of the cash flows of other assets and liabilities. Additionally, future events could cause us to conclude that impairment indicators exist and that associated long-lived assets of our businesses are impaired. Any resulting impairment loss could have a material adverse impact on our financial condition and results of operations.</w:t>
      </w:r>
    </w:p>
    <w:p>
      <w:pPr>
        <w:spacing w:after="0" w:line="12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estimated useful lives of long-lived assets range from one to 35 years. Depreciation and amortization of these assets, including amortization of deferred turnaround costs, under the straight-line method over their estimated useful lives totaled $245.8 million, $208.5 million and $157.8 million in 2015, 2014 and 2013, respectively. If the useful lives of the assets were found to be shorter than originally estimated, depreciation or amortization charges would be accelerated.</w:t>
      </w:r>
    </w:p>
    <w:p>
      <w:pPr>
        <w:spacing w:after="0" w:line="133"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We defer the costs of planned major maintenance activities, or turnarounds, and amortize the costs over the period until the next planned turnaround of the affected unit. Total costs deferred on turnarounds were $3.2 million, $0.3 million and $59.1 million in 2015, 2014 and 2013, respectively. Amortization in 2015, 2014 and 2013 of previously deferred turnaround costs was $18.5 million, $19.2 million and $17.7 million, respectively. As of December 31, 2015, deferred turnaround costs, net of accumulated amortization, totaled $36.1 million. Expensing turnaround costs as incurred would likely result in greater variability of our quarterly operating results and would adversely affect our financial position and results of operations.</w:t>
      </w:r>
    </w:p>
    <w:p>
      <w:pPr>
        <w:spacing w:after="0" w:line="10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Additional information concerning long-lived assets and related depreciation and amortization appears in Notes 5 and 6 to the audited consolidated financial statements appearing elsewhere in this Form 10-K.</w:t>
      </w:r>
    </w:p>
    <w:p>
      <w:pPr>
        <w:spacing w:after="0" w:line="11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 xml:space="preserve">Fair Value Estimates. </w:t>
      </w:r>
      <w:r>
        <w:rPr>
          <w:rFonts w:ascii="Arial" w:cs="Arial" w:eastAsia="Arial" w:hAnsi="Arial"/>
          <w:sz w:val="18"/>
          <w:szCs w:val="18"/>
          <w:color w:val="auto"/>
        </w:rPr>
        <w:t>We develop estimates of fair value to allocate the purchase price paid to acquire a business to the assets acquired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in an acquisition, to assess impairment of long-lived assets, goodwill and intangible assets and to record marketable securities, derivative instruments and pension plan assets. We use all available information to make these fair value determinations, including the engagement of third-party consultants. At December 31, 2015, our recorded goodwill was $62.0 million, which was associated with the acquisitions of our specialty PVC pipe business and our Longview facilities. In addition, we record all derivative instruments, pension plan assets and certain marketable securities at fair value. The fair value of these items is determined by quoted market prices or from observable market-based inputs. See Notes 11 and 14 to the consolidated financial statements for more information.</w:t>
      </w:r>
    </w:p>
    <w:p>
      <w:pPr>
        <w:spacing w:after="0" w:line="135"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i w:val="1"/>
          <w:iCs w:val="1"/>
          <w:color w:val="auto"/>
        </w:rPr>
        <w:t xml:space="preserve">Long-Term Employee Benefit Costs. </w:t>
      </w:r>
      <w:r>
        <w:rPr>
          <w:rFonts w:ascii="Arial" w:cs="Arial" w:eastAsia="Arial" w:hAnsi="Arial"/>
          <w:sz w:val="17"/>
          <w:szCs w:val="17"/>
          <w:color w:val="auto"/>
        </w:rPr>
        <w:t>Our costs for long-term employee benefits, particularly pension and postretirement medical and life benefits, are</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over long periods of time and involve many uncertainties over those periods. The net periodic benefit cost attributable to current periods is based on several assumptions about such future uncertainties and is sensitive to changes in those assumptions. It is our responsibility, often with the assistance of independent experts, to select assumptions that represent the best estimates of those uncertainties. It is also our responsibility to review those assumptions periodically and, if necessary, adjust the assumptions to reflect changes in economic or other factors.</w:t>
      </w:r>
    </w:p>
    <w:p>
      <w:pPr>
        <w:spacing w:after="0" w:line="119"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Accounting for employee retirement plans involves estimating the cost of benefits that are to be provided in the future and attempting to match, for each employee, that estimated cost to the period worked. To accomplish this, we rely extensively on advice from actuaries, and we make assumptions about inflation, investment returns, mortality, employee turnover and discount rates that ultimately impact amounts recorded. Changes in these assumptions may result in different expense and liability amounts. Two of the more significant assumptions relate to the discount rate for measuring benefit obligations and the expected long-term rate of return on plan assets. At December 31, 2015, the projected pension benefit obligations for U.S. and non-U.S. plans were calculated using assumed weighted average discount rates of 4.0% and 2.4%, respectively. The discount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rates were determined using a benchmark pension discount curve and applying spot rates from the curve to each year of expected benefit payments to determine the appropriate discount rate. The return on asset assumption of 7.0% for U.S. plans is based on historical asset returns, anticipated future performance of the investments and financial markets and input from our third-party independent actuary and the pension fund trustee. The non-U.S. plans are unfunded and, therefore, have no plan assets. As a result of the funding relief provided by the enactment of the Bipartisan Budget Act of 2015, no minimum funding requirements are expected during 2016 for the U.S. pension plans. Additional information on the 2016 funding requirements and key assumptions underlying these benefit costs appear in Note 11 to the audited consolidated financial statements appearing elsewhere in this Form 10-K.</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reflects the sensitivity of the benefit obligation of our pension plans to changes in the actuarial 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2015</w:t>
            </w:r>
          </w:p>
        </w:tc>
        <w:tc>
          <w:tcPr>
            <w:tcW w:w="1280" w:type="dxa"/>
            <w:vAlign w:val="bottom"/>
            <w:tcBorders>
              <w:bottom w:val="single" w:sz="8" w:color="auto"/>
            </w:tcBorders>
          </w:tcPr>
          <w:p>
            <w:pPr>
              <w:spacing w:after="0"/>
              <w:rPr>
                <w:sz w:val="16"/>
                <w:szCs w:val="16"/>
                <w:color w:val="auto"/>
              </w:rPr>
            </w:pPr>
          </w:p>
        </w:tc>
      </w:tr>
      <w:tr>
        <w:trPr>
          <w:trHeight w:val="264"/>
        </w:trPr>
        <w:tc>
          <w:tcPr>
            <w:tcW w:w="836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 Plans</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7"/>
              </w:rPr>
              <w:t>Non-U.S. Plans</w:t>
            </w:r>
          </w:p>
        </w:tc>
      </w:tr>
      <w:tr>
        <w:trPr>
          <w:trHeight w:val="385"/>
        </w:trPr>
        <w:tc>
          <w:tcPr>
            <w:tcW w:w="8360" w:type="dxa"/>
            <w:vAlign w:val="bottom"/>
          </w:tcPr>
          <w:p>
            <w:pPr>
              <w:spacing w:after="0"/>
              <w:rPr>
                <w:sz w:val="24"/>
                <w:szCs w:val="24"/>
                <w:color w:val="auto"/>
              </w:rPr>
            </w:pPr>
          </w:p>
        </w:tc>
        <w:tc>
          <w:tcPr>
            <w:tcW w:w="3060" w:type="dxa"/>
            <w:vAlign w:val="bottom"/>
            <w:gridSpan w:val="6"/>
          </w:tcPr>
          <w:p>
            <w:pPr>
              <w:jc w:val="right"/>
              <w:ind w:right="834"/>
              <w:spacing w:after="0"/>
              <w:rPr>
                <w:sz w:val="20"/>
                <w:szCs w:val="20"/>
                <w:color w:val="auto"/>
              </w:rPr>
            </w:pPr>
            <w:r>
              <w:rPr>
                <w:rFonts w:ascii="Arial" w:cs="Arial" w:eastAsia="Arial" w:hAnsi="Arial"/>
                <w:sz w:val="14"/>
                <w:szCs w:val="14"/>
                <w:b w:val="1"/>
                <w:bCs w:val="1"/>
                <w:color w:val="auto"/>
              </w:rPr>
              <w:t>(dollars in millions)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end of year</w:t>
            </w: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62.2</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Discount rate increases by 100 basis points</w:t>
            </w:r>
          </w:p>
        </w:tc>
        <w:tc>
          <w:tcPr>
            <w:tcW w:w="10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55.6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81.3</w:t>
            </w:r>
          </w:p>
        </w:tc>
      </w:tr>
      <w:tr>
        <w:trPr>
          <w:trHeight w:val="27"/>
        </w:trPr>
        <w:tc>
          <w:tcPr>
            <w:tcW w:w="8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Discount rate decreases by 100 basis points</w:t>
            </w:r>
          </w:p>
        </w:tc>
        <w:tc>
          <w:tcPr>
            <w:tcW w:w="106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70.1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112.2</w:t>
            </w:r>
          </w:p>
        </w:tc>
      </w:tr>
      <w:tr>
        <w:trPr>
          <w:trHeight w:val="27"/>
        </w:trPr>
        <w:tc>
          <w:tcPr>
            <w:tcW w:w="83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Assumed healthcare trend rates do not have a significant effect on the amounts reported for the healthcare plans because benefits for participants are capped at a fixed amount.</w:t>
      </w:r>
    </w:p>
    <w:p>
      <w:pPr>
        <w:spacing w:after="0" w:line="116"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While we believe that the amounts recorded in the consolidated financial statements appearing elsewhere in this Form 10-K related to these retirement plans are based on the best estimates and judgments available, the actual outcomes could differ from these estimates.</w:t>
      </w:r>
    </w:p>
    <w:p>
      <w:pPr>
        <w:spacing w:after="0" w:line="116"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i w:val="1"/>
          <w:iCs w:val="1"/>
          <w:color w:val="auto"/>
        </w:rPr>
        <w:t>Allowance for Doubtful Accounts</w:t>
      </w:r>
      <w:r>
        <w:rPr>
          <w:rFonts w:ascii="Arial" w:cs="Arial" w:eastAsia="Arial" w:hAnsi="Arial"/>
          <w:sz w:val="16"/>
          <w:szCs w:val="16"/>
          <w:color w:val="auto"/>
        </w:rPr>
        <w:t>. In our determination of the allowance for doubtful accounts, and consistent with our accounting policy, we estimate</w:t>
      </w:r>
      <w:r>
        <w:rPr>
          <w:rFonts w:ascii="Arial" w:cs="Arial" w:eastAsia="Arial" w:hAnsi="Arial"/>
          <w:sz w:val="16"/>
          <w:szCs w:val="16"/>
          <w:i w:val="1"/>
          <w:iCs w:val="1"/>
          <w:color w:val="auto"/>
        </w:rPr>
        <w:t xml:space="preserve"> </w:t>
      </w:r>
      <w:r>
        <w:rPr>
          <w:rFonts w:ascii="Arial" w:cs="Arial" w:eastAsia="Arial" w:hAnsi="Arial"/>
          <w:sz w:val="16"/>
          <w:szCs w:val="16"/>
          <w:color w:val="auto"/>
        </w:rPr>
        <w:t>the amount of accounts receivable that we believe are unlikely to be collected and we record an expense of that amount. Estimating this amount requires us to analyze the financial strength of our customers, and, in our analysis, we combine the use of historical experience, our accounts receivable aged trial balance and specific collectibility analysis. We review our allowance for doubtful accounts quarterly. Balances over 90 days past due and accounts determined by our analysis of financial strength of customers to be high risk are reviewed individually for collectibility. By its nature, such an estimate is highly subjective and it is possible that the amount of accounts receivable that we are unable to collect may be different than the amount initially estimated.</w:t>
      </w:r>
    </w:p>
    <w:p>
      <w:pPr>
        <w:spacing w:after="0" w:line="111"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We utilize the liability method of accounting for income taxes. Under the liability method, deferred tax assets or liabilities are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based upon temporary differences between the tax basis of assets and liabilities and their carrying values for financial reporting purposes. Deferred tax expense or benefit is the result of changes in the deferred tax assets and liabilities during the period. Valuation allowances are recorded against deferred tax assets when it is considered more likely than not that the deferred tax assets will not be realized.</w:t>
      </w:r>
    </w:p>
    <w:p>
      <w:pPr>
        <w:spacing w:after="0" w:line="117"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i w:val="1"/>
          <w:iCs w:val="1"/>
          <w:color w:val="auto"/>
        </w:rPr>
        <w:t xml:space="preserve">Environmental and Legal Obligations. </w:t>
      </w:r>
      <w:r>
        <w:rPr>
          <w:rFonts w:ascii="Arial" w:cs="Arial" w:eastAsia="Arial" w:hAnsi="Arial"/>
          <w:sz w:val="17"/>
          <w:szCs w:val="17"/>
          <w:color w:val="auto"/>
        </w:rPr>
        <w:t>We consult with various professionals to assist us in making estimates relating to environmental costs and legal</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proceedings. We accrue an expense when we determine that it is probable that a liability has been incurred and the amount is reasonably estimable. While we believe that the amounts recorded in the accompanying consolidated financial statements related to these contingencies are based on the best estimates and judgments available, the actual outcomes could differ from our estimates. Additional information about certain legal proceedings and environmental matters appears in Note 22 to the audited consolidated financial statements appearing elsewhere in this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400" w:firstLine="432"/>
        <w:spacing w:after="0" w:line="308" w:lineRule="auto"/>
        <w:rPr>
          <w:sz w:val="20"/>
          <w:szCs w:val="20"/>
          <w:color w:val="auto"/>
        </w:rPr>
      </w:pPr>
      <w:r>
        <w:rPr>
          <w:rFonts w:ascii="Arial" w:cs="Arial" w:eastAsia="Arial" w:hAnsi="Arial"/>
          <w:sz w:val="17"/>
          <w:szCs w:val="17"/>
          <w:color w:val="auto"/>
        </w:rPr>
        <w:t>See Note 1 to the audited consolidated financial statements for a full description of recent accounting pronouncements, including expected dates of adoption and estimated effects on results of operations and financial condition, which is incorporated herein by reference.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right="300" w:firstLine="446"/>
        <w:spacing w:after="0" w:line="277" w:lineRule="auto"/>
        <w:rPr>
          <w:sz w:val="20"/>
          <w:szCs w:val="20"/>
          <w:color w:val="auto"/>
        </w:rPr>
      </w:pPr>
      <w:r>
        <w:rPr>
          <w:rFonts w:ascii="Arial" w:cs="Arial" w:eastAsia="Arial" w:hAnsi="Arial"/>
          <w:sz w:val="18"/>
          <w:szCs w:val="18"/>
          <w:color w:val="auto"/>
        </w:rPr>
        <w:t>A substantial portion of our products and raw materials are commodities whose prices fluctuate as market supply and demand fundamentals change. Accordingly, product margins and the level of our profitability tend to fluctuate with changes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business cycle. We try to protect against such instability through various business strategies. Our strategies include ethylene product feedstock flexibility and moving downstream into the olefins and vinyls products where pricing is more stable. We use derivative instruments in certain instances to reduce price volatility risk on feedstocks and products. Based on our open derivative positions at December 31, 2015, a hypothetical $0.10 increase in the price of a gallon of ethane would have increased our income before taxes by $17.1 million and a hypothetical $0.10 increase in the price of an MMBtu of natural gas would have increased our income before taxes by $0.8 million. Additional information concerning derivative commodity instruments appears in Notes 13 and 14 to the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20" w:firstLine="446"/>
        <w:spacing w:after="0" w:line="291" w:lineRule="auto"/>
        <w:rPr>
          <w:sz w:val="20"/>
          <w:szCs w:val="20"/>
          <w:color w:val="auto"/>
        </w:rPr>
      </w:pPr>
      <w:r>
        <w:rPr>
          <w:rFonts w:ascii="Arial" w:cs="Arial" w:eastAsia="Arial" w:hAnsi="Arial"/>
          <w:sz w:val="16"/>
          <w:szCs w:val="16"/>
          <w:color w:val="auto"/>
        </w:rPr>
        <w:t>We are exposed to interest rate risk with respect to fixed and variable rate debt. At December 31, 2015, we had variable rate debt of $10.9 million outstanding. All of the debt outstanding under our revolving credit facility (none was outstanding at December 31, 2015) and our loan relating to the tax-exempt waste disposal revenue bonds are at variable rates. We do not currently hedge our variable interest rate debt, but we may do so in the future. The average variable interest rate for our variable rate debt of $10.9 million as of December 31, 2015 was 0.07%. A hypothetical 100 basis point increase in the average interest rate on our variable rate debt would increase our annual interest expense by approximately $0.1 million. Also, at December 31, 2015, we had $754.0 million aggregate principal amount of fixed rate debt. We are subject to the risk of higher interest cost if and when this debt is refinanced. If interest rates were 1% higher at the time of refinancing, our annual interest expense would increase by approximately $7.5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90"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We are exposed to foreign currency exchange rate risk associated with our international operations. However, the effect of fluctuations in foreign currency exchange rates caused by our international operations has not had a material impact on our overall operating results. We may engage in activities to mitigate our exposure to foreign currency exchange risk in certain instances through the use of currency exchange derivative instruments, including forward exchange contracts, or spot purchases. A forward exchange contract obligates us to exchange predetermined amounts of specified currencies at a stated exchange rate on a stated date.</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122" w:right="29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0240" w:type="dxa"/>
            <w:vAlign w:val="bottom"/>
          </w:tcPr>
          <w:p>
            <w:pPr>
              <w:spacing w:after="0"/>
              <w:rPr>
                <w:sz w:val="16"/>
                <w:szCs w:val="16"/>
                <w:color w:val="auto"/>
              </w:rPr>
            </w:pPr>
          </w:p>
        </w:tc>
        <w:tc>
          <w:tcPr>
            <w:tcW w:w="1140" w:type="dxa"/>
            <w:vAlign w:val="bottom"/>
          </w:tcPr>
          <w:p>
            <w:pPr>
              <w:jc w:val="right"/>
              <w:ind w:right="332"/>
              <w:spacing w:after="0"/>
              <w:rPr>
                <w:sz w:val="20"/>
                <w:szCs w:val="20"/>
                <w:color w:val="auto"/>
              </w:rPr>
            </w:pPr>
            <w:r>
              <w:rPr>
                <w:rFonts w:ascii="Arial" w:cs="Arial" w:eastAsia="Arial" w:hAnsi="Arial"/>
                <w:sz w:val="14"/>
                <w:szCs w:val="14"/>
                <w:b w:val="1"/>
                <w:bCs w:val="1"/>
                <w:color w:val="auto"/>
              </w:rPr>
              <w:t>Page</w:t>
            </w:r>
          </w:p>
        </w:tc>
      </w:tr>
      <w:tr>
        <w:trPr>
          <w:trHeight w:val="80"/>
        </w:trPr>
        <w:tc>
          <w:tcPr>
            <w:tcW w:w="1024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372"/>
        </w:trPr>
        <w:tc>
          <w:tcPr>
            <w:tcW w:w="10240" w:type="dxa"/>
            <w:vAlign w:val="bottom"/>
          </w:tcPr>
          <w:p>
            <w:pPr>
              <w:spacing w:after="0"/>
              <w:rPr>
                <w:sz w:val="20"/>
                <w:szCs w:val="20"/>
                <w:color w:val="auto"/>
              </w:rPr>
            </w:pPr>
            <w:r>
              <w:rPr>
                <w:rFonts w:ascii="Arial" w:cs="Arial" w:eastAsia="Arial" w:hAnsi="Arial"/>
                <w:sz w:val="18"/>
                <w:szCs w:val="18"/>
                <w:color w:val="auto"/>
              </w:rPr>
              <w:t>Management's Report on Internal Control over Financial Reporting</w:t>
            </w:r>
          </w:p>
        </w:tc>
        <w:tc>
          <w:tcPr>
            <w:tcW w:w="114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45</w:t>
              </w:r>
            </w:hyperlink>
          </w:p>
        </w:tc>
      </w:tr>
      <w:tr>
        <w:trPr>
          <w:trHeight w:val="270"/>
        </w:trPr>
        <w:tc>
          <w:tcPr>
            <w:tcW w:w="102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14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46</w:t>
              </w:r>
            </w:hyperlink>
          </w:p>
        </w:tc>
      </w:tr>
      <w:tr>
        <w:trPr>
          <w:trHeight w:val="270"/>
        </w:trPr>
        <w:tc>
          <w:tcPr>
            <w:tcW w:w="1024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1140" w:type="dxa"/>
            <w:vAlign w:val="bottom"/>
          </w:tcPr>
          <w:p>
            <w:pPr>
              <w:spacing w:after="0"/>
              <w:rPr>
                <w:sz w:val="23"/>
                <w:szCs w:val="23"/>
                <w:color w:val="auto"/>
              </w:rPr>
            </w:pPr>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Balance Sheets as of December 31, 2015 and 2014</w:t>
            </w:r>
          </w:p>
        </w:tc>
        <w:tc>
          <w:tcPr>
            <w:tcW w:w="114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47</w:t>
              </w:r>
            </w:hyperlink>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Statements of Operations for the Years Ended December 31, 2015, 2014 and 2013</w:t>
            </w:r>
          </w:p>
        </w:tc>
        <w:tc>
          <w:tcPr>
            <w:tcW w:w="114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48</w:t>
              </w:r>
            </w:hyperlink>
          </w:p>
        </w:tc>
      </w:tr>
      <w:tr>
        <w:trPr>
          <w:trHeight w:val="256"/>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Statements of Comprehensive Income for the Years Ended</w:t>
            </w:r>
          </w:p>
        </w:tc>
        <w:tc>
          <w:tcPr>
            <w:tcW w:w="114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49</w:t>
              </w:r>
            </w:hyperlink>
          </w:p>
        </w:tc>
      </w:tr>
      <w:tr>
        <w:trPr>
          <w:trHeight w:val="230"/>
        </w:trPr>
        <w:tc>
          <w:tcPr>
            <w:tcW w:w="10240" w:type="dxa"/>
            <w:vAlign w:val="bottom"/>
          </w:tcPr>
          <w:p>
            <w:pPr>
              <w:ind w:left="480"/>
              <w:spacing w:after="0"/>
              <w:rPr>
                <w:sz w:val="20"/>
                <w:szCs w:val="20"/>
                <w:color w:val="auto"/>
              </w:rPr>
            </w:pPr>
            <w:r>
              <w:rPr>
                <w:rFonts w:ascii="Arial" w:cs="Arial" w:eastAsia="Arial" w:hAnsi="Arial"/>
                <w:sz w:val="18"/>
                <w:szCs w:val="18"/>
                <w:color w:val="auto"/>
              </w:rPr>
              <w:t>December 31, 2015, 2014 and 2013</w:t>
            </w:r>
          </w:p>
        </w:tc>
        <w:tc>
          <w:tcPr>
            <w:tcW w:w="1140" w:type="dxa"/>
            <w:vAlign w:val="bottom"/>
          </w:tcPr>
          <w:p>
            <w:pPr>
              <w:spacing w:after="0"/>
              <w:rPr>
                <w:sz w:val="20"/>
                <w:szCs w:val="20"/>
                <w:color w:val="auto"/>
              </w:rPr>
            </w:pPr>
          </w:p>
        </w:tc>
      </w:tr>
      <w:tr>
        <w:trPr>
          <w:trHeight w:val="256"/>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Statements of Changes in Stockholders' Equity for the Years Ended</w:t>
            </w:r>
          </w:p>
        </w:tc>
        <w:tc>
          <w:tcPr>
            <w:tcW w:w="114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50</w:t>
              </w:r>
            </w:hyperlink>
          </w:p>
        </w:tc>
      </w:tr>
      <w:tr>
        <w:trPr>
          <w:trHeight w:val="230"/>
        </w:trPr>
        <w:tc>
          <w:tcPr>
            <w:tcW w:w="10240" w:type="dxa"/>
            <w:vAlign w:val="bottom"/>
          </w:tcPr>
          <w:p>
            <w:pPr>
              <w:ind w:left="480"/>
              <w:spacing w:after="0"/>
              <w:rPr>
                <w:sz w:val="20"/>
                <w:szCs w:val="20"/>
                <w:color w:val="auto"/>
              </w:rPr>
            </w:pPr>
            <w:r>
              <w:rPr>
                <w:rFonts w:ascii="Arial" w:cs="Arial" w:eastAsia="Arial" w:hAnsi="Arial"/>
                <w:sz w:val="18"/>
                <w:szCs w:val="18"/>
                <w:color w:val="auto"/>
              </w:rPr>
              <w:t>December 31, 2015, 2014 and 2013</w:t>
            </w:r>
          </w:p>
        </w:tc>
        <w:tc>
          <w:tcPr>
            <w:tcW w:w="1140" w:type="dxa"/>
            <w:vAlign w:val="bottom"/>
          </w:tcPr>
          <w:p>
            <w:pPr>
              <w:spacing w:after="0"/>
              <w:rPr>
                <w:sz w:val="20"/>
                <w:szCs w:val="20"/>
                <w:color w:val="auto"/>
              </w:rPr>
            </w:pPr>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Statements of Cash Flows for the Years Ended December 31, 2015, 2014 and 2013</w:t>
            </w:r>
          </w:p>
        </w:tc>
        <w:tc>
          <w:tcPr>
            <w:tcW w:w="114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51</w:t>
              </w:r>
            </w:hyperlink>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Notes to Consolidated Financial Statements</w:t>
            </w:r>
          </w:p>
        </w:tc>
        <w:tc>
          <w:tcPr>
            <w:tcW w:w="114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52</w:t>
              </w:r>
            </w:hyperlink>
          </w:p>
        </w:tc>
      </w:tr>
      <w:tr>
        <w:trPr>
          <w:trHeight w:val="270"/>
        </w:trPr>
        <w:tc>
          <w:tcPr>
            <w:tcW w:w="10240" w:type="dxa"/>
            <w:vAlign w:val="bottom"/>
          </w:tcPr>
          <w:p>
            <w:pPr>
              <w:spacing w:after="0"/>
              <w:rPr>
                <w:sz w:val="20"/>
                <w:szCs w:val="20"/>
                <w:color w:val="auto"/>
              </w:rPr>
            </w:pPr>
            <w:r>
              <w:rPr>
                <w:rFonts w:ascii="Arial" w:cs="Arial" w:eastAsia="Arial" w:hAnsi="Arial"/>
                <w:sz w:val="18"/>
                <w:szCs w:val="18"/>
                <w:color w:val="auto"/>
              </w:rPr>
              <w:t>Financial Statement Schedule II—Valuation and Qualifying Accounts</w:t>
            </w:r>
          </w:p>
        </w:tc>
        <w:tc>
          <w:tcPr>
            <w:tcW w:w="1140" w:type="dxa"/>
            <w:vAlign w:val="bottom"/>
          </w:tcPr>
          <w:p>
            <w:pPr>
              <w:jc w:val="right"/>
              <w:spacing w:after="0"/>
              <w:rPr>
                <w:rFonts w:ascii="Arial" w:cs="Arial" w:eastAsia="Arial" w:hAnsi="Arial"/>
                <w:sz w:val="18"/>
                <w:szCs w:val="18"/>
                <w:color w:val="auto"/>
              </w:rPr>
            </w:pPr>
            <w:hyperlink w:anchor="page113">
              <w:r>
                <w:rPr>
                  <w:rFonts w:ascii="Arial" w:cs="Arial" w:eastAsia="Arial" w:hAnsi="Arial"/>
                  <w:sz w:val="18"/>
                  <w:szCs w:val="18"/>
                  <w:color w:val="auto"/>
                </w:rPr>
                <w:t>107</w:t>
              </w:r>
            </w:hyperlink>
          </w:p>
        </w:tc>
      </w:tr>
    </w:tbl>
    <w:p>
      <w:pPr>
        <w:spacing w:after="0" w:line="17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Financial statement schedules not included in this Form 10-K have been omitted because they are not applicable or because the required information is shown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right="160" w:firstLine="432"/>
        <w:spacing w:after="0" w:line="286" w:lineRule="auto"/>
        <w:rPr>
          <w:sz w:val="20"/>
          <w:szCs w:val="20"/>
          <w:color w:val="auto"/>
        </w:rPr>
      </w:pPr>
      <w:r>
        <w:rPr>
          <w:rFonts w:ascii="Arial" w:cs="Arial" w:eastAsia="Arial" w:hAnsi="Arial"/>
          <w:sz w:val="17"/>
          <w:szCs w:val="17"/>
          <w:color w:val="auto"/>
        </w:rPr>
        <w:t>The management of Westlake Chemical Corporation is responsible for establishing and maintaining adequate internal control over financial reporting. Westlake's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11"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 xml:space="preserve">Westlake management assessed the effectiveness of the Company's internal control over financial reporting as of December 31, 2015. In making this assessment, management used the criteria set forth by the Committee of Sponsoring Organizations of the Treadway Commission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(2013). Based on its assessment, Westlake's management has concluded that the Company's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was effective as of December 31, 2015 based on those criteria.</w:t>
      </w:r>
    </w:p>
    <w:p>
      <w:pPr>
        <w:spacing w:after="0" w:line="133"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PricewaterhouseCoopers LLP, the independent registered public accounting firm that audited the financial statements included in this Annual Report on Form 10-K, has also audited the effectiveness of internal control over financial reporting as of December 31, 2015 as stated in their report that appears on the following page.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Westlake Chemical Corporation:</w:t>
      </w:r>
    </w:p>
    <w:p>
      <w:pPr>
        <w:spacing w:after="0" w:line="238"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of comprehensive income, of changes in stockholders' equity and of cash flows present fairly, in all material respects, the financial position of Westlake Chemical Corporation and its subsidiaries at December 31, 2015 and 2014, and the results of their operations and their cash flows for each of the three years in the period ended December 31, 2015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2015,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6"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2016</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2" w:right="25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74"/>
        </w:trPr>
        <w:tc>
          <w:tcPr>
            <w:tcW w:w="8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720" w:type="dxa"/>
            <w:vAlign w:val="bottom"/>
            <w:gridSpan w:val="4"/>
          </w:tcPr>
          <w:p>
            <w:pPr>
              <w:ind w:left="240"/>
              <w:spacing w:after="0"/>
              <w:rPr>
                <w:sz w:val="20"/>
                <w:szCs w:val="20"/>
                <w:color w:val="auto"/>
              </w:rPr>
            </w:pPr>
            <w:r>
              <w:rPr>
                <w:rFonts w:ascii="Arial" w:cs="Arial" w:eastAsia="Arial" w:hAnsi="Arial"/>
                <w:sz w:val="14"/>
                <w:szCs w:val="14"/>
                <w:b w:val="1"/>
                <w:bCs w:val="1"/>
                <w:color w:val="auto"/>
              </w:rPr>
              <w:t>(in thousands of dollars, except</w:t>
            </w:r>
          </w:p>
        </w:tc>
      </w:tr>
      <w:tr>
        <w:trPr>
          <w:trHeight w:val="192"/>
        </w:trPr>
        <w:tc>
          <w:tcPr>
            <w:tcW w:w="8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ind w:left="260"/>
              <w:spacing w:after="0"/>
              <w:rPr>
                <w:sz w:val="20"/>
                <w:szCs w:val="20"/>
                <w:color w:val="auto"/>
              </w:rPr>
            </w:pPr>
            <w:r>
              <w:rPr>
                <w:rFonts w:ascii="Arial" w:cs="Arial" w:eastAsia="Arial" w:hAnsi="Arial"/>
                <w:sz w:val="14"/>
                <w:szCs w:val="14"/>
                <w:b w:val="1"/>
                <w:bCs w:val="1"/>
                <w:color w:val="auto"/>
              </w:rPr>
              <w:t>par values and share amounts)</w:t>
            </w:r>
          </w:p>
        </w:tc>
      </w:tr>
      <w:tr>
        <w:trPr>
          <w:trHeight w:val="256"/>
        </w:trPr>
        <w:tc>
          <w:tcPr>
            <w:tcW w:w="8360" w:type="dxa"/>
            <w:vAlign w:val="bottom"/>
            <w:tcBorders>
              <w:bottom w:val="single" w:sz="8" w:color="CCEEFF"/>
            </w:tcBorders>
            <w:shd w:val="clear" w:color="auto" w:fill="CCEEFF"/>
          </w:tcPr>
          <w:p>
            <w:pPr>
              <w:ind w:left="378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662,525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880,601</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520,144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508,532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560,666</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434,060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525,776</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11,807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35,439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32,437</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2,175,189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2,011,287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3,004,067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2,757,557</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9,208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61,305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213,404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218,431</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Deferred charges and other assets, net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173,384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165,410</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other assets, net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386,788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383,841</w:t>
            </w:r>
          </w:p>
        </w:tc>
      </w:tr>
      <w:tr>
        <w:trPr>
          <w:trHeight w:val="297"/>
        </w:trPr>
        <w:tc>
          <w:tcPr>
            <w:tcW w:w="836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5,575,252</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5,213,990</w:t>
            </w:r>
          </w:p>
        </w:tc>
      </w:tr>
      <w:tr>
        <w:trPr>
          <w:trHeight w:val="284"/>
        </w:trPr>
        <w:tc>
          <w:tcPr>
            <w:tcW w:w="8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360" w:type="dxa"/>
            <w:vAlign w:val="bottom"/>
          </w:tcPr>
          <w:p>
            <w:pPr>
              <w:ind w:left="298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and notes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235,329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261,062</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287,313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276,118</w:t>
            </w:r>
          </w:p>
        </w:tc>
      </w:tr>
      <w:tr>
        <w:trPr>
          <w:trHeight w:val="237"/>
        </w:trPr>
        <w:tc>
          <w:tcPr>
            <w:tcW w:w="8360" w:type="dxa"/>
            <w:vAlign w:val="bottom"/>
          </w:tcPr>
          <w:p>
            <w:pPr>
              <w:ind w:left="11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522,642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537,180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764,115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763,997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575,603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536,066</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150,961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174,859</w:t>
            </w:r>
          </w:p>
        </w:tc>
      </w:tr>
      <w:tr>
        <w:trPr>
          <w:trHeight w:val="237"/>
        </w:trPr>
        <w:tc>
          <w:tcPr>
            <w:tcW w:w="8360" w:type="dxa"/>
            <w:vAlign w:val="bottom"/>
          </w:tcPr>
          <w:p>
            <w:pPr>
              <w:ind w:left="114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2,013,321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2,012,102</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(Notes 8 and 22)</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Preferred stock, $0.01 par value, 50,000,000 shares authorized; no shares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issued and outstanding</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tcPr>
          <w:p>
            <w:pPr>
              <w:ind w:left="380"/>
              <w:spacing w:after="0"/>
              <w:rPr>
                <w:sz w:val="20"/>
                <w:szCs w:val="20"/>
                <w:color w:val="auto"/>
              </w:rPr>
            </w:pPr>
            <w:r>
              <w:rPr>
                <w:rFonts w:ascii="Arial" w:cs="Arial" w:eastAsia="Arial" w:hAnsi="Arial"/>
                <w:sz w:val="18"/>
                <w:szCs w:val="18"/>
                <w:color w:val="auto"/>
              </w:rPr>
              <w:t>Common stock, $0.01 par value, 300,000,000 shares authorized; 134,663,244 and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360" w:type="dxa"/>
            <w:vAlign w:val="bottom"/>
          </w:tcPr>
          <w:p>
            <w:pPr>
              <w:ind w:left="520"/>
              <w:spacing w:after="0"/>
              <w:rPr>
                <w:sz w:val="20"/>
                <w:szCs w:val="20"/>
                <w:color w:val="auto"/>
              </w:rPr>
            </w:pPr>
            <w:r>
              <w:rPr>
                <w:rFonts w:ascii="Arial" w:cs="Arial" w:eastAsia="Arial" w:hAnsi="Arial"/>
                <w:sz w:val="18"/>
                <w:szCs w:val="18"/>
                <w:color w:val="auto"/>
              </w:rPr>
              <w:t>134,679,064 shares issued at December 31, 2015 and 2014, respectively (Note 9)</w:t>
            </w:r>
          </w:p>
        </w:tc>
        <w:tc>
          <w:tcPr>
            <w:tcW w:w="34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1,347</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Common stock, held in treasury, at cost; 4,444,898 and 1,787,546 shares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at December 31, 2015 and 2014, respectively (Note 9)</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(258,312)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(96,372)</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542,148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530,441</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3,109,987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2,555,528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(129,292)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(79,433)</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Westlake Chemical Corporation stockholders'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3,265,878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2,911,511</w:t>
            </w: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296,053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290,377</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3,561,931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3,201,888</w:t>
            </w:r>
          </w:p>
        </w:tc>
      </w:tr>
      <w:tr>
        <w:trPr>
          <w:trHeight w:val="257"/>
        </w:trPr>
        <w:tc>
          <w:tcPr>
            <w:tcW w:w="8360" w:type="dxa"/>
            <w:vAlign w:val="bottom"/>
          </w:tcPr>
          <w:p>
            <w:pPr>
              <w:ind w:left="1140"/>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5,575,252</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5,213,990</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2" w:right="23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74"/>
        </w:trPr>
        <w:tc>
          <w:tcPr>
            <w:tcW w:w="6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 of dollars,</w:t>
            </w: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40" w:type="dxa"/>
            <w:vAlign w:val="bottom"/>
            <w:gridSpan w:val="6"/>
          </w:tcPr>
          <w:p>
            <w:pPr>
              <w:jc w:val="center"/>
              <w:ind w:left="652"/>
              <w:spacing w:after="0"/>
              <w:rPr>
                <w:sz w:val="20"/>
                <w:szCs w:val="20"/>
                <w:color w:val="auto"/>
              </w:rPr>
            </w:pPr>
            <w:r>
              <w:rPr>
                <w:rFonts w:ascii="Arial" w:cs="Arial" w:eastAsia="Arial" w:hAnsi="Arial"/>
                <w:sz w:val="14"/>
                <w:szCs w:val="14"/>
                <w:b w:val="1"/>
                <w:bCs w:val="1"/>
                <w:color w:val="auto"/>
                <w:w w:val="91"/>
              </w:rPr>
              <w:t>except share amounts and per share data)</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4,463,336</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4,415,350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3,759,484</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3,278,145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3,098,000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2,658,046</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1,185,191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1,317,350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1,101,438</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225,364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193,359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147,974</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959,827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1,123,991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953,464</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(18,082)</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38,270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6,790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963,441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1,083,918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942,172</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298,396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398,902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331,747</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665,045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685,016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610,425</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19,035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Westlake Chemical Corporation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646,010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678,523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610,425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attributable to</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7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60"/>
              <w:spacing w:after="0"/>
              <w:rPr>
                <w:sz w:val="20"/>
                <w:szCs w:val="20"/>
                <w:color w:val="auto"/>
              </w:rPr>
            </w:pPr>
            <w:r>
              <w:rPr>
                <w:rFonts w:ascii="Arial" w:cs="Arial" w:eastAsia="Arial" w:hAnsi="Arial"/>
                <w:sz w:val="18"/>
                <w:szCs w:val="18"/>
                <w:color w:val="auto"/>
              </w:rPr>
              <w:t>Westlake Chemical Corporation (Note 9):</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304"/>
        </w:trPr>
        <w:tc>
          <w:tcPr>
            <w:tcW w:w="676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4.86</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84"/>
        </w:trPr>
        <w:tc>
          <w:tcPr>
            <w:tcW w:w="676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Weighted average shares outstanding (Note 9)</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131,823,707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133,111,230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133,224,256</w:t>
            </w:r>
          </w:p>
        </w:tc>
        <w:tc>
          <w:tcPr>
            <w:tcW w:w="0" w:type="dxa"/>
            <w:vAlign w:val="bottom"/>
          </w:tcPr>
          <w:p>
            <w:pPr>
              <w:spacing w:after="0"/>
              <w:rPr>
                <w:sz w:val="1"/>
                <w:szCs w:val="1"/>
                <w:color w:val="auto"/>
              </w:rPr>
            </w:pPr>
          </w:p>
        </w:tc>
      </w:tr>
      <w:tr>
        <w:trPr>
          <w:trHeight w:val="304"/>
        </w:trPr>
        <w:tc>
          <w:tcPr>
            <w:tcW w:w="6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132,301,812</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133,643,414</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89"/>
              </w:rPr>
              <w:t>133,779,250</w:t>
            </w:r>
          </w:p>
        </w:tc>
        <w:tc>
          <w:tcPr>
            <w:tcW w:w="0" w:type="dxa"/>
            <w:vAlign w:val="bottom"/>
          </w:tcPr>
          <w:p>
            <w:pPr>
              <w:spacing w:after="0"/>
              <w:rPr>
                <w:sz w:val="1"/>
                <w:szCs w:val="1"/>
                <w:color w:val="auto"/>
              </w:rPr>
            </w:pPr>
          </w:p>
        </w:tc>
      </w:tr>
      <w:tr>
        <w:trPr>
          <w:trHeight w:val="284"/>
        </w:trPr>
        <w:tc>
          <w:tcPr>
            <w:tcW w:w="6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8"/>
                <w:szCs w:val="18"/>
                <w:color w:val="auto"/>
              </w:rPr>
              <w:t>Dividends per common share (Note 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0.6930</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0.5820</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0.4125</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385"/>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(in thousands of dollars)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665,045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685,016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610,425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income taxes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other post-retirement benefits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9"/>
        </w:trPr>
        <w:tc>
          <w:tcPr>
            <w:tcW w:w="6760" w:type="dxa"/>
            <w:vAlign w:val="bottom"/>
          </w:tcPr>
          <w:p>
            <w:pPr>
              <w:ind w:left="720"/>
              <w:spacing w:after="0"/>
              <w:rPr>
                <w:sz w:val="20"/>
                <w:szCs w:val="20"/>
                <w:color w:val="auto"/>
              </w:rPr>
            </w:pPr>
            <w:r>
              <w:rPr>
                <w:rFonts w:ascii="Arial" w:cs="Arial" w:eastAsia="Arial" w:hAnsi="Arial"/>
                <w:sz w:val="18"/>
                <w:szCs w:val="18"/>
                <w:color w:val="auto"/>
              </w:rPr>
              <w:t>Pension and other post-retirement reserves adjustment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60" w:type="dxa"/>
            <w:vAlign w:val="bottom"/>
          </w:tcPr>
          <w:p>
            <w:pPr>
              <w:ind w:left="840"/>
              <w:spacing w:after="0"/>
              <w:rPr>
                <w:sz w:val="20"/>
                <w:szCs w:val="20"/>
                <w:color w:val="auto"/>
              </w:rPr>
            </w:pPr>
            <w:r>
              <w:rPr>
                <w:rFonts w:ascii="Arial" w:cs="Arial" w:eastAsia="Arial" w:hAnsi="Arial"/>
                <w:sz w:val="18"/>
                <w:szCs w:val="18"/>
                <w:color w:val="auto"/>
              </w:rPr>
              <w:t>(excluding amortization)</w:t>
            </w: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18,260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(25,766)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12,969</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Settlement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r>
      <w:tr>
        <w:trPr>
          <w:trHeight w:val="243"/>
        </w:trPr>
        <w:tc>
          <w:tcPr>
            <w:tcW w:w="6760" w:type="dxa"/>
            <w:vAlign w:val="bottom"/>
          </w:tcPr>
          <w:p>
            <w:pPr>
              <w:ind w:left="720"/>
              <w:spacing w:after="0"/>
              <w:rPr>
                <w:sz w:val="20"/>
                <w:szCs w:val="20"/>
                <w:color w:val="auto"/>
              </w:rPr>
            </w:pPr>
            <w:r>
              <w:rPr>
                <w:rFonts w:ascii="Arial" w:cs="Arial" w:eastAsia="Arial" w:hAnsi="Arial"/>
                <w:sz w:val="18"/>
                <w:szCs w:val="18"/>
                <w:color w:val="auto"/>
              </w:rPr>
              <w:t>Amortization of benefits liability</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2,712</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(provision) benefit on pension and other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post-retirement benefits liability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(6,026)</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(59,466)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(60,128)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(1,607)</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720"/>
              <w:spacing w:after="0"/>
              <w:rPr>
                <w:sz w:val="20"/>
                <w:szCs w:val="20"/>
                <w:color w:val="auto"/>
              </w:rPr>
            </w:pPr>
            <w:r>
              <w:rPr>
                <w:rFonts w:ascii="Arial" w:cs="Arial" w:eastAsia="Arial" w:hAnsi="Arial"/>
                <w:sz w:val="18"/>
                <w:szCs w:val="18"/>
                <w:color w:val="auto"/>
              </w:rPr>
              <w:t>Unrealized holding (losses) gains on investments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256</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Reclassification of net realized (gains) losses to 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6760" w:type="dxa"/>
            <w:vAlign w:val="bottom"/>
          </w:tcPr>
          <w:p>
            <w:pPr>
              <w:ind w:left="720"/>
              <w:spacing w:after="0"/>
              <w:rPr>
                <w:sz w:val="20"/>
                <w:szCs w:val="20"/>
                <w:color w:val="auto"/>
              </w:rPr>
            </w:pPr>
            <w:r>
              <w:rPr>
                <w:rFonts w:ascii="Arial" w:cs="Arial" w:eastAsia="Arial" w:hAnsi="Arial"/>
                <w:sz w:val="18"/>
                <w:szCs w:val="18"/>
                <w:color w:val="auto"/>
              </w:rPr>
              <w:t>Income tax benefit (provision) on available-for-sale investments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8,224</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615,186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608,199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618,649</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6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Comprehensive income attributable to noncontrolling interests,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57"/>
        </w:trPr>
        <w:tc>
          <w:tcPr>
            <w:tcW w:w="67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of tax</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Comprehensive income attributable to Westlake Chemical Corporation</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596,151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601,706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618,649</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3" w:name="page54"/>
    <w:bookmarkEnd w:id="53"/>
    <w:p>
      <w:pPr>
        <w:spacing w:after="0" w:line="62"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ind w:left="400"/>
              <w:spacing w:after="0"/>
              <w:rPr>
                <w:sz w:val="20"/>
                <w:szCs w:val="20"/>
                <w:color w:val="auto"/>
              </w:rPr>
            </w:pPr>
            <w:r>
              <w:rPr>
                <w:rFonts w:ascii="Arial" w:cs="Arial" w:eastAsia="Arial" w:hAnsi="Arial"/>
                <w:sz w:val="14"/>
                <w:szCs w:val="14"/>
                <w:b w:val="1"/>
                <w:bCs w:val="1"/>
                <w:color w:val="auto"/>
              </w:rPr>
              <w:t>Common Stock,</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7"/>
              </w:rPr>
              <w:t>Accumulated Other Comprehensive</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2"/>
        </w:trPr>
        <w:tc>
          <w:tcPr>
            <w:tcW w:w="1340" w:type="dxa"/>
            <w:vAlign w:val="bottom"/>
          </w:tcPr>
          <w:p>
            <w:pPr>
              <w:spacing w:after="0"/>
              <w:rPr>
                <w:sz w:val="15"/>
                <w:szCs w:val="15"/>
                <w:color w:val="auto"/>
              </w:rPr>
            </w:pPr>
          </w:p>
        </w:tc>
        <w:tc>
          <w:tcPr>
            <w:tcW w:w="17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17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Held in Treasury</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63"/>
        </w:trPr>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49"/>
        </w:trPr>
        <w:tc>
          <w:tcPr>
            <w:tcW w:w="1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Unrealized</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1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Cumulative</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Holding</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1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Benefits</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Foreign</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Gains on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1340" w:type="dxa"/>
            <w:vAlign w:val="bottom"/>
          </w:tcPr>
          <w:p>
            <w:pPr>
              <w:spacing w:after="0"/>
              <w:rPr>
                <w:sz w:val="12"/>
                <w:szCs w:val="12"/>
                <w:color w:val="auto"/>
              </w:rPr>
            </w:pPr>
          </w:p>
        </w:tc>
        <w:tc>
          <w:tcPr>
            <w:tcW w:w="10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Number of</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Number of</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Paid-in</w:t>
            </w:r>
          </w:p>
        </w:tc>
        <w:tc>
          <w:tcPr>
            <w:tcW w:w="9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Retained</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Liability,</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Currency</w:t>
            </w: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Investments,</w:t>
            </w: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Noncontrolling</w:t>
            </w:r>
          </w:p>
        </w:tc>
        <w:tc>
          <w:tcPr>
            <w:tcW w:w="900" w:type="dxa"/>
            <w:vAlign w:val="bottom"/>
          </w:tcPr>
          <w:p>
            <w:pPr>
              <w:spacing w:after="0"/>
              <w:rPr>
                <w:sz w:val="12"/>
                <w:szCs w:val="12"/>
                <w:color w:val="auto"/>
              </w:rPr>
            </w:pPr>
          </w:p>
        </w:tc>
      </w:tr>
      <w:tr>
        <w:trPr>
          <w:trHeight w:val="182"/>
        </w:trPr>
        <w:tc>
          <w:tcPr>
            <w:tcW w:w="1340" w:type="dxa"/>
            <w:vAlign w:val="bottom"/>
          </w:tcPr>
          <w:p>
            <w:pPr>
              <w:spacing w:after="0"/>
              <w:rPr>
                <w:sz w:val="15"/>
                <w:szCs w:val="15"/>
                <w:color w:val="auto"/>
              </w:rPr>
            </w:pPr>
          </w:p>
        </w:tc>
        <w:tc>
          <w:tcPr>
            <w:tcW w:w="9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At Cost</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5"/>
                <w:szCs w:val="15"/>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of Tax</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Exchange</w:t>
            </w:r>
          </w:p>
        </w:tc>
        <w:tc>
          <w:tcPr>
            <w:tcW w:w="100" w:type="dxa"/>
            <w:vAlign w:val="bottom"/>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Net of Tax</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89"/>
              </w:rPr>
              <w:t>Interests</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Total</w:t>
            </w:r>
          </w:p>
        </w:tc>
      </w:tr>
      <w:tr>
        <w:trPr>
          <w:trHeight w:val="385"/>
        </w:trPr>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8"/>
          </w:tcPr>
          <w:p>
            <w:pPr>
              <w:ind w:left="80"/>
              <w:spacing w:after="0"/>
              <w:rPr>
                <w:sz w:val="20"/>
                <w:szCs w:val="20"/>
                <w:color w:val="auto"/>
              </w:rPr>
            </w:pPr>
            <w:r>
              <w:rPr>
                <w:rFonts w:ascii="Arial" w:cs="Arial" w:eastAsia="Arial" w:hAnsi="Arial"/>
                <w:sz w:val="14"/>
                <w:szCs w:val="14"/>
                <w:b w:val="1"/>
                <w:bCs w:val="1"/>
                <w:color w:val="auto"/>
              </w:rPr>
              <w:t>(in thousands of dollars, except share amounts)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3"/>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Balances at</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3"/>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3"/>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2012</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2"/>
              </w:rPr>
              <w:t>134,374,448</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$ 1,344</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568,986</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 (13,302)</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$ 495,582</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$1,399,472</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 (16,351)</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   5,511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$ 1,872,256</w:t>
            </w:r>
          </w:p>
        </w:tc>
      </w:tr>
      <w:tr>
        <w:trPr>
          <w:trHeight w:val="237"/>
        </w:trPr>
        <w:tc>
          <w:tcPr>
            <w:tcW w:w="1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610,425</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610,425</w:t>
            </w:r>
          </w:p>
        </w:tc>
      </w:tr>
      <w:tr>
        <w:trPr>
          <w:trHeight w:val="33"/>
        </w:trPr>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3"/>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9"/>
        </w:trPr>
        <w:tc>
          <w:tcPr>
            <w:tcW w:w="1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income (loss)</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9,655</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8,224</w:t>
            </w:r>
          </w:p>
        </w:tc>
      </w:tr>
      <w:tr>
        <w:trPr>
          <w:trHeight w:val="220"/>
        </w:trPr>
        <w:tc>
          <w:tcPr>
            <w:tcW w:w="1340" w:type="dxa"/>
            <w:vAlign w:val="bottom"/>
          </w:tcPr>
          <w:p>
            <w:pPr>
              <w:ind w:left="40"/>
              <w:spacing w:after="0"/>
              <w:rPr>
                <w:sz w:val="20"/>
                <w:szCs w:val="20"/>
                <w:color w:val="auto"/>
              </w:rPr>
            </w:pPr>
            <w:r>
              <w:rPr>
                <w:rFonts w:ascii="Arial" w:cs="Arial" w:eastAsia="Arial" w:hAnsi="Arial"/>
                <w:sz w:val="16"/>
                <w:szCs w:val="16"/>
                <w:color w:val="auto"/>
              </w:rPr>
              <w:t>Common stock</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1340" w:type="dxa"/>
            <w:vAlign w:val="bottom"/>
          </w:tcPr>
          <w:p>
            <w:pPr>
              <w:ind w:left="160"/>
              <w:spacing w:after="0"/>
              <w:rPr>
                <w:sz w:val="20"/>
                <w:szCs w:val="20"/>
                <w:color w:val="auto"/>
              </w:rPr>
            </w:pPr>
            <w:r>
              <w:rPr>
                <w:rFonts w:ascii="Arial" w:cs="Arial" w:eastAsia="Arial" w:hAnsi="Arial"/>
                <w:sz w:val="16"/>
                <w:szCs w:val="16"/>
                <w:color w:val="auto"/>
              </w:rPr>
              <w:t>repurchased</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683,936</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(32,918)</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(32,918)</w:t>
            </w:r>
          </w:p>
        </w:tc>
      </w:tr>
      <w:tr>
        <w:trPr>
          <w:trHeight w:val="33"/>
        </w:trPr>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issued—</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3"/>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1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based</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9"/>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205,760</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3,435</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3,437</w:t>
            </w:r>
          </w:p>
        </w:tc>
      </w:tr>
      <w:tr>
        <w:trPr>
          <w:trHeight w:val="220"/>
        </w:trPr>
        <w:tc>
          <w:tcPr>
            <w:tcW w:w="1340" w:type="dxa"/>
            <w:vAlign w:val="bottom"/>
          </w:tcPr>
          <w:p>
            <w:pPr>
              <w:ind w:left="40"/>
              <w:spacing w:after="0"/>
              <w:rPr>
                <w:sz w:val="20"/>
                <w:szCs w:val="20"/>
                <w:color w:val="auto"/>
              </w:rPr>
            </w:pPr>
            <w:r>
              <w:rPr>
                <w:rFonts w:ascii="Arial" w:cs="Arial" w:eastAsia="Arial" w:hAnsi="Arial"/>
                <w:sz w:val="16"/>
                <w:szCs w:val="16"/>
                <w:color w:val="auto"/>
              </w:rPr>
              <w:t>Stock-based</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3"/>
        </w:trPr>
        <w:tc>
          <w:tcPr>
            <w:tcW w:w="134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340" w:type="dxa"/>
            <w:vAlign w:val="bottom"/>
          </w:tcPr>
          <w:p>
            <w:pPr>
              <w:ind w:left="160"/>
              <w:spacing w:after="0"/>
              <w:rPr>
                <w:sz w:val="20"/>
                <w:szCs w:val="20"/>
                <w:color w:val="auto"/>
              </w:rPr>
            </w:pPr>
            <w:r>
              <w:rPr>
                <w:rFonts w:ascii="Arial" w:cs="Arial" w:eastAsia="Arial" w:hAnsi="Arial"/>
                <w:sz w:val="16"/>
                <w:szCs w:val="16"/>
                <w:color w:val="auto"/>
              </w:rPr>
              <w:t>net of tax 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340" w:type="dxa"/>
            <w:vAlign w:val="bottom"/>
          </w:tcPr>
          <w:p>
            <w:pPr>
              <w:ind w:left="40"/>
              <w:spacing w:after="0"/>
              <w:rPr>
                <w:sz w:val="20"/>
                <w:szCs w:val="20"/>
                <w:color w:val="auto"/>
              </w:rPr>
            </w:pPr>
            <w:r>
              <w:rPr>
                <w:rFonts w:ascii="Arial" w:cs="Arial" w:eastAsia="Arial" w:hAnsi="Arial"/>
                <w:sz w:val="16"/>
                <w:szCs w:val="16"/>
                <w:color w:val="auto"/>
              </w:rPr>
              <w:t>stock</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340" w:type="dxa"/>
            <w:vAlign w:val="bottom"/>
          </w:tcPr>
          <w:p>
            <w:pPr>
              <w:ind w:left="160"/>
              <w:spacing w:after="0"/>
              <w:rPr>
                <w:sz w:val="20"/>
                <w:szCs w:val="20"/>
                <w:color w:val="auto"/>
              </w:rPr>
            </w:pPr>
            <w:r>
              <w:rPr>
                <w:rFonts w:ascii="Arial" w:cs="Arial" w:eastAsia="Arial" w:hAnsi="Arial"/>
                <w:sz w:val="16"/>
                <w:szCs w:val="16"/>
                <w:color w:val="auto"/>
              </w:rPr>
              <w:t>options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1340" w:type="dxa"/>
            <w:vAlign w:val="bottom"/>
          </w:tcPr>
          <w:p>
            <w:pPr>
              <w:ind w:left="40"/>
              <w:spacing w:after="0"/>
              <w:rPr>
                <w:sz w:val="20"/>
                <w:szCs w:val="20"/>
                <w:color w:val="auto"/>
              </w:rPr>
            </w:pPr>
            <w:r>
              <w:rPr>
                <w:rFonts w:ascii="Arial" w:cs="Arial" w:eastAsia="Arial" w:hAnsi="Arial"/>
                <w:sz w:val="16"/>
                <w:szCs w:val="16"/>
                <w:color w:val="auto"/>
              </w:rPr>
              <w:t>exercised</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12,415</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12,415</w:t>
            </w:r>
          </w:p>
        </w:tc>
      </w:tr>
      <w:tr>
        <w:trPr>
          <w:trHeight w:val="33"/>
        </w:trPr>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paid</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(55,236)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(55,236)</w:t>
            </w:r>
          </w:p>
        </w:tc>
      </w:tr>
      <w:tr>
        <w:trPr>
          <w:trHeight w:val="196"/>
        </w:trPr>
        <w:tc>
          <w:tcPr>
            <w:tcW w:w="1340" w:type="dxa"/>
            <w:vAlign w:val="bottom"/>
          </w:tcPr>
          <w:p>
            <w:pPr>
              <w:ind w:left="40"/>
              <w:spacing w:after="0"/>
              <w:rPr>
                <w:sz w:val="20"/>
                <w:szCs w:val="20"/>
                <w:color w:val="auto"/>
              </w:rPr>
            </w:pPr>
            <w:r>
              <w:rPr>
                <w:rFonts w:ascii="Arial" w:cs="Arial" w:eastAsia="Arial" w:hAnsi="Arial"/>
                <w:sz w:val="16"/>
                <w:szCs w:val="16"/>
                <w:b w:val="1"/>
                <w:bCs w:val="1"/>
                <w:color w:val="auto"/>
              </w:rPr>
              <w:t>Balances at</w:t>
            </w: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03"/>
        </w:trPr>
        <w:tc>
          <w:tcPr>
            <w:tcW w:w="1340" w:type="dxa"/>
            <w:vAlign w:val="bottom"/>
          </w:tcPr>
          <w:p>
            <w:pPr>
              <w:ind w:left="40"/>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1340" w:type="dxa"/>
            <w:vAlign w:val="bottom"/>
          </w:tcPr>
          <w:p>
            <w:pPr>
              <w:ind w:left="40"/>
              <w:spacing w:after="0"/>
              <w:rPr>
                <w:sz w:val="20"/>
                <w:szCs w:val="20"/>
                <w:color w:val="auto"/>
              </w:rPr>
            </w:pPr>
            <w:r>
              <w:rPr>
                <w:rFonts w:ascii="Arial" w:cs="Arial" w:eastAsia="Arial" w:hAnsi="Arial"/>
                <w:sz w:val="16"/>
                <w:szCs w:val="16"/>
                <w:b w:val="1"/>
                <w:bCs w:val="1"/>
                <w:color w:val="auto"/>
              </w:rPr>
              <w:t>2013</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w w:val="92"/>
              </w:rPr>
              <w:t>134,580,208</w:t>
            </w:r>
          </w:p>
        </w:tc>
        <w:tc>
          <w:tcPr>
            <w:tcW w:w="10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1,346</w:t>
            </w:r>
          </w:p>
        </w:tc>
        <w:tc>
          <w:tcPr>
            <w:tcW w:w="10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w w:val="92"/>
              </w:rPr>
              <w:t>1,252,922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(46,220)</w:t>
            </w:r>
          </w:p>
        </w:tc>
        <w:tc>
          <w:tcPr>
            <w:tcW w:w="100" w:type="dxa"/>
            <w:vAlign w:val="bottom"/>
          </w:tcPr>
          <w:p>
            <w:pPr>
              <w:spacing w:after="0"/>
              <w:rPr>
                <w:sz w:val="18"/>
                <w:szCs w:val="18"/>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511,432</w:t>
            </w:r>
          </w:p>
        </w:tc>
        <w:tc>
          <w:tcPr>
            <w:tcW w:w="12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1,954,661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(6,696)</w:t>
            </w:r>
          </w:p>
        </w:tc>
        <w:tc>
          <w:tcPr>
            <w:tcW w:w="100" w:type="dxa"/>
            <w:vAlign w:val="bottom"/>
          </w:tcPr>
          <w:p>
            <w:pPr>
              <w:spacing w:after="0"/>
              <w:rPr>
                <w:sz w:val="18"/>
                <w:szCs w:val="18"/>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3,904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2,418,603</w:t>
            </w:r>
          </w:p>
        </w:tc>
      </w:tr>
      <w:tr>
        <w:trPr>
          <w:trHeight w:val="33"/>
        </w:trPr>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678,523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6,493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685,016</w:t>
            </w:r>
          </w:p>
        </w:tc>
      </w:tr>
      <w:tr>
        <w:trPr>
          <w:trHeight w:val="220"/>
        </w:trPr>
        <w:tc>
          <w:tcPr>
            <w:tcW w:w="1340" w:type="dxa"/>
            <w:vAlign w:val="bottom"/>
          </w:tcPr>
          <w:p>
            <w:pPr>
              <w:ind w:left="4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3"/>
        </w:trPr>
        <w:tc>
          <w:tcPr>
            <w:tcW w:w="1340" w:type="dxa"/>
            <w:vAlign w:val="bottom"/>
          </w:tcPr>
          <w:p>
            <w:pPr>
              <w:ind w:left="40"/>
              <w:spacing w:after="0"/>
              <w:rPr>
                <w:sz w:val="20"/>
                <w:szCs w:val="20"/>
                <w:color w:val="auto"/>
              </w:rPr>
            </w:pPr>
            <w:r>
              <w:rPr>
                <w:rFonts w:ascii="Arial" w:cs="Arial" w:eastAsia="Arial" w:hAnsi="Arial"/>
                <w:sz w:val="16"/>
                <w:szCs w:val="16"/>
                <w:color w:val="auto"/>
              </w:rPr>
              <w:t>comprehensive</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1340" w:type="dxa"/>
            <w:vAlign w:val="bottom"/>
          </w:tcPr>
          <w:p>
            <w:pPr>
              <w:ind w:left="160"/>
              <w:spacing w:after="0"/>
              <w:rPr>
                <w:sz w:val="20"/>
                <w:szCs w:val="20"/>
                <w:color w:val="auto"/>
              </w:rPr>
            </w:pPr>
            <w:r>
              <w:rPr>
                <w:rFonts w:ascii="Arial" w:cs="Arial" w:eastAsia="Arial" w:hAnsi="Arial"/>
                <w:sz w:val="16"/>
                <w:szCs w:val="16"/>
                <w:color w:val="auto"/>
              </w:rPr>
              <w:t>(loss) income</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(16,746)</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(60,128)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(76,817)</w:t>
            </w:r>
          </w:p>
        </w:tc>
      </w:tr>
      <w:tr>
        <w:trPr>
          <w:trHeight w:val="33"/>
        </w:trPr>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1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repurchased</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671,791</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(52,630)</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(52,630)</w:t>
            </w:r>
          </w:p>
        </w:tc>
      </w:tr>
      <w:tr>
        <w:trPr>
          <w:trHeight w:val="220"/>
        </w:trPr>
        <w:tc>
          <w:tcPr>
            <w:tcW w:w="1340" w:type="dxa"/>
            <w:vAlign w:val="bottom"/>
          </w:tcPr>
          <w:p>
            <w:pPr>
              <w:ind w:left="40"/>
              <w:spacing w:after="0"/>
              <w:rPr>
                <w:sz w:val="20"/>
                <w:szCs w:val="20"/>
                <w:color w:val="auto"/>
              </w:rPr>
            </w:pPr>
            <w:r>
              <w:rPr>
                <w:rFonts w:ascii="Arial" w:cs="Arial" w:eastAsia="Arial" w:hAnsi="Arial"/>
                <w:sz w:val="16"/>
                <w:szCs w:val="16"/>
                <w:color w:val="auto"/>
              </w:rPr>
              <w:t>Shares issued—</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3"/>
        </w:trPr>
        <w:tc>
          <w:tcPr>
            <w:tcW w:w="1340" w:type="dxa"/>
            <w:vAlign w:val="bottom"/>
          </w:tcPr>
          <w:p>
            <w:pPr>
              <w:ind w:left="40"/>
              <w:spacing w:after="0"/>
              <w:rPr>
                <w:sz w:val="20"/>
                <w:szCs w:val="20"/>
                <w:color w:val="auto"/>
              </w:rPr>
            </w:pPr>
            <w:r>
              <w:rPr>
                <w:rFonts w:ascii="Arial" w:cs="Arial" w:eastAsia="Arial" w:hAnsi="Arial"/>
                <w:sz w:val="16"/>
                <w:szCs w:val="16"/>
                <w:color w:val="auto"/>
              </w:rPr>
              <w:t>stock-</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340" w:type="dxa"/>
            <w:vAlign w:val="bottom"/>
          </w:tcPr>
          <w:p>
            <w:pPr>
              <w:ind w:left="160"/>
              <w:spacing w:after="0"/>
              <w:rPr>
                <w:sz w:val="20"/>
                <w:szCs w:val="20"/>
                <w:color w:val="auto"/>
              </w:rPr>
            </w:pPr>
            <w:r>
              <w:rPr>
                <w:rFonts w:ascii="Arial" w:cs="Arial" w:eastAsia="Arial" w:hAnsi="Arial"/>
                <w:sz w:val="16"/>
                <w:szCs w:val="16"/>
                <w:color w:val="auto"/>
              </w:rPr>
              <w:t>based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134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98,856</w:t>
            </w:r>
          </w:p>
        </w:tc>
        <w:tc>
          <w:tcPr>
            <w:tcW w:w="10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(137,167)</w:t>
            </w:r>
          </w:p>
        </w:tc>
        <w:tc>
          <w:tcPr>
            <w:tcW w:w="10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2,478</w:t>
            </w:r>
          </w:p>
        </w:tc>
        <w:tc>
          <w:tcPr>
            <w:tcW w:w="100" w:type="dxa"/>
            <w:vAlign w:val="bottom"/>
          </w:tcPr>
          <w:p>
            <w:pPr>
              <w:spacing w:after="0"/>
              <w:rPr>
                <w:sz w:val="17"/>
                <w:szCs w:val="17"/>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3,045</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5,524</w:t>
            </w:r>
          </w:p>
        </w:tc>
      </w:tr>
      <w:tr>
        <w:trPr>
          <w:trHeight w:val="33"/>
        </w:trPr>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3"/>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1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of tax on</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1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options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9"/>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15,964</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15,964</w:t>
            </w:r>
          </w:p>
        </w:tc>
      </w:tr>
      <w:tr>
        <w:trPr>
          <w:trHeight w:val="237"/>
        </w:trPr>
        <w:tc>
          <w:tcPr>
            <w:tcW w:w="1340" w:type="dxa"/>
            <w:vAlign w:val="bottom"/>
          </w:tcPr>
          <w:p>
            <w:pPr>
              <w:ind w:left="40"/>
              <w:spacing w:after="0"/>
              <w:rPr>
                <w:sz w:val="20"/>
                <w:szCs w:val="20"/>
                <w:color w:val="auto"/>
              </w:rPr>
            </w:pPr>
            <w:r>
              <w:rPr>
                <w:rFonts w:ascii="Arial" w:cs="Arial" w:eastAsia="Arial" w:hAnsi="Arial"/>
                <w:sz w:val="16"/>
                <w:szCs w:val="16"/>
                <w:color w:val="auto"/>
              </w:rPr>
              <w:t>Dividends paid</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(77,656)</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(77,656)</w:t>
            </w:r>
          </w:p>
        </w:tc>
      </w:tr>
      <w:tr>
        <w:trPr>
          <w:trHeight w:val="33"/>
        </w:trPr>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to</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3"/>
        </w:trPr>
        <w:tc>
          <w:tcPr>
            <w:tcW w:w="1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noncontrolling</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9"/>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(2,204)</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(2,204)</w:t>
            </w:r>
          </w:p>
        </w:tc>
      </w:tr>
      <w:tr>
        <w:trPr>
          <w:trHeight w:val="220"/>
        </w:trPr>
        <w:tc>
          <w:tcPr>
            <w:tcW w:w="1340" w:type="dxa"/>
            <w:vAlign w:val="bottom"/>
          </w:tcPr>
          <w:p>
            <w:pPr>
              <w:ind w:left="40"/>
              <w:spacing w:after="0"/>
              <w:rPr>
                <w:sz w:val="20"/>
                <w:szCs w:val="20"/>
                <w:color w:val="auto"/>
              </w:rPr>
            </w:pPr>
            <w:r>
              <w:rPr>
                <w:rFonts w:ascii="Arial" w:cs="Arial" w:eastAsia="Arial" w:hAnsi="Arial"/>
                <w:sz w:val="16"/>
                <w:szCs w:val="16"/>
                <w:color w:val="auto"/>
              </w:rPr>
              <w:t>Issuance of</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3"/>
        </w:trPr>
        <w:tc>
          <w:tcPr>
            <w:tcW w:w="1340" w:type="dxa"/>
            <w:vAlign w:val="bottom"/>
          </w:tcPr>
          <w:p>
            <w:pPr>
              <w:ind w:left="40"/>
              <w:spacing w:after="0"/>
              <w:rPr>
                <w:sz w:val="20"/>
                <w:szCs w:val="20"/>
                <w:color w:val="auto"/>
              </w:rPr>
            </w:pPr>
            <w:r>
              <w:rPr>
                <w:rFonts w:ascii="Arial" w:cs="Arial" w:eastAsia="Arial" w:hAnsi="Arial"/>
                <w:sz w:val="16"/>
                <w:szCs w:val="16"/>
                <w:color w:val="auto"/>
              </w:rPr>
              <w:t>Westlake</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340" w:type="dxa"/>
            <w:vAlign w:val="bottom"/>
          </w:tcPr>
          <w:p>
            <w:pPr>
              <w:ind w:left="160"/>
              <w:spacing w:after="0"/>
              <w:rPr>
                <w:sz w:val="20"/>
                <w:szCs w:val="20"/>
                <w:color w:val="auto"/>
              </w:rPr>
            </w:pPr>
            <w:r>
              <w:rPr>
                <w:rFonts w:ascii="Arial" w:cs="Arial" w:eastAsia="Arial" w:hAnsi="Arial"/>
                <w:sz w:val="16"/>
                <w:szCs w:val="16"/>
                <w:color w:val="auto"/>
              </w:rPr>
              <w:t>Chemical</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340" w:type="dxa"/>
            <w:vAlign w:val="bottom"/>
          </w:tcPr>
          <w:p>
            <w:pPr>
              <w:ind w:left="40"/>
              <w:spacing w:after="0"/>
              <w:rPr>
                <w:sz w:val="20"/>
                <w:szCs w:val="20"/>
                <w:color w:val="auto"/>
              </w:rPr>
            </w:pPr>
            <w:r>
              <w:rPr>
                <w:rFonts w:ascii="Arial" w:cs="Arial" w:eastAsia="Arial" w:hAnsi="Arial"/>
                <w:sz w:val="16"/>
                <w:szCs w:val="16"/>
                <w:color w:val="auto"/>
              </w:rPr>
              <w:t>Partners LP</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1340" w:type="dxa"/>
            <w:vAlign w:val="bottom"/>
          </w:tcPr>
          <w:p>
            <w:pPr>
              <w:ind w:left="160"/>
              <w:spacing w:after="0"/>
              <w:rPr>
                <w:sz w:val="20"/>
                <w:szCs w:val="20"/>
                <w:color w:val="auto"/>
              </w:rPr>
            </w:pPr>
            <w:r>
              <w:rPr>
                <w:rFonts w:ascii="Arial" w:cs="Arial" w:eastAsia="Arial" w:hAnsi="Arial"/>
                <w:sz w:val="16"/>
                <w:szCs w:val="16"/>
                <w:color w:val="auto"/>
              </w:rPr>
              <w:t>common units</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286,088</w:t>
            </w:r>
          </w:p>
        </w:tc>
        <w:tc>
          <w:tcPr>
            <w:tcW w:w="10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286,088</w:t>
            </w:r>
          </w:p>
        </w:tc>
      </w:tr>
      <w:tr>
        <w:trPr>
          <w:trHeight w:val="33"/>
        </w:trPr>
        <w:tc>
          <w:tcPr>
            <w:tcW w:w="1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Balances at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3"/>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2014</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2"/>
              </w:rPr>
              <w:t>134,679,064</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1,347</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2"/>
              </w:rPr>
              <w:t>1,787,546</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(96,372)</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530,441</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2,555,528</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(23,442)</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(56,224)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290,377</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3,201,888</w:t>
            </w:r>
          </w:p>
        </w:tc>
      </w:tr>
      <w:tr>
        <w:trPr>
          <w:trHeight w:val="237"/>
        </w:trPr>
        <w:tc>
          <w:tcPr>
            <w:tcW w:w="1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646,010</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19,035</w:t>
            </w: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665,045</w:t>
            </w:r>
          </w:p>
        </w:tc>
      </w:tr>
      <w:tr>
        <w:trPr>
          <w:trHeight w:val="33"/>
        </w:trPr>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3"/>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9"/>
        </w:trPr>
        <w:tc>
          <w:tcPr>
            <w:tcW w:w="1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income (loss)</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14,835</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(59,466)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(49,859)</w:t>
            </w:r>
          </w:p>
        </w:tc>
      </w:tr>
      <w:tr>
        <w:trPr>
          <w:trHeight w:val="220"/>
        </w:trPr>
        <w:tc>
          <w:tcPr>
            <w:tcW w:w="1340" w:type="dxa"/>
            <w:vAlign w:val="bottom"/>
          </w:tcPr>
          <w:p>
            <w:pPr>
              <w:ind w:left="40"/>
              <w:spacing w:after="0"/>
              <w:rPr>
                <w:sz w:val="20"/>
                <w:szCs w:val="20"/>
                <w:color w:val="auto"/>
              </w:rPr>
            </w:pPr>
            <w:r>
              <w:rPr>
                <w:rFonts w:ascii="Arial" w:cs="Arial" w:eastAsia="Arial" w:hAnsi="Arial"/>
                <w:sz w:val="16"/>
                <w:szCs w:val="16"/>
                <w:color w:val="auto"/>
              </w:rPr>
              <w:t>Common stock</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1340" w:type="dxa"/>
            <w:vAlign w:val="bottom"/>
          </w:tcPr>
          <w:p>
            <w:pPr>
              <w:ind w:left="160"/>
              <w:spacing w:after="0"/>
              <w:rPr>
                <w:sz w:val="20"/>
                <w:szCs w:val="20"/>
                <w:color w:val="auto"/>
              </w:rPr>
            </w:pPr>
            <w:r>
              <w:rPr>
                <w:rFonts w:ascii="Arial" w:cs="Arial" w:eastAsia="Arial" w:hAnsi="Arial"/>
                <w:sz w:val="16"/>
                <w:szCs w:val="16"/>
                <w:color w:val="auto"/>
              </w:rPr>
              <w:t>repurchased</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w w:val="92"/>
              </w:rPr>
              <w:t>2,701,937</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(163,138)</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(163,138)</w:t>
            </w:r>
          </w:p>
        </w:tc>
      </w:tr>
      <w:tr>
        <w:trPr>
          <w:trHeight w:val="33"/>
        </w:trPr>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issued—</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(15,820)</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(44,585)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1,198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1,063</w:t>
            </w:r>
          </w:p>
        </w:tc>
      </w:tr>
      <w:tr>
        <w:trPr>
          <w:trHeight w:val="206"/>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373"/>
        </w:trPr>
        <w:tc>
          <w:tcPr>
            <w:tcW w:w="13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bl>
    <w:p>
      <w:pPr>
        <w:sectPr>
          <w:pgSz w:w="11900" w:h="16900" w:orient="portrait"/>
          <w:cols w:equalWidth="0" w:num="1">
            <w:col w:w="11420"/>
          </w:cols>
          <w:pgMar w:left="240" w:top="122" w:right="239" w:bottom="0" w:gutter="0" w:footer="0" w:header="0"/>
        </w:sectPr>
      </w:pPr>
    </w:p>
    <w:bookmarkStart w:id="54" w:name="page55"/>
    <w:bookmarkEnd w:id="54"/>
    <w:p>
      <w:pPr>
        <w:ind w:left="160"/>
        <w:spacing w:after="0"/>
        <w:rPr>
          <w:sz w:val="20"/>
          <w:szCs w:val="20"/>
          <w:color w:val="auto"/>
        </w:rPr>
      </w:pPr>
      <w:r>
        <w:rPr>
          <w:rFonts w:ascii="Arial" w:cs="Arial" w:eastAsia="Arial" w:hAnsi="Arial"/>
          <w:sz w:val="16"/>
          <w:szCs w:val="16"/>
          <w:color w:val="auto"/>
        </w:rPr>
        <w:t>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34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340" w:type="dxa"/>
            <w:vAlign w:val="bottom"/>
          </w:tcPr>
          <w:p>
            <w:pPr>
              <w:ind w:left="40"/>
              <w:spacing w:after="0"/>
              <w:rPr>
                <w:sz w:val="20"/>
                <w:szCs w:val="20"/>
                <w:color w:val="auto"/>
              </w:rPr>
            </w:pPr>
            <w:r>
              <w:rPr>
                <w:rFonts w:ascii="Arial" w:cs="Arial" w:eastAsia="Arial" w:hAnsi="Arial"/>
                <w:sz w:val="16"/>
                <w:szCs w:val="16"/>
                <w:color w:val="auto"/>
              </w:rPr>
              <w:t>Stock-based</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160"/>
              <w:spacing w:after="0"/>
              <w:rPr>
                <w:sz w:val="20"/>
                <w:szCs w:val="20"/>
                <w:color w:val="auto"/>
              </w:rPr>
            </w:pPr>
            <w:r>
              <w:rPr>
                <w:rFonts w:ascii="Arial" w:cs="Arial" w:eastAsia="Arial" w:hAnsi="Arial"/>
                <w:sz w:val="16"/>
                <w:szCs w:val="16"/>
                <w:color w:val="auto"/>
              </w:rPr>
              <w:t>net of tax 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40"/>
              <w:spacing w:after="0"/>
              <w:rPr>
                <w:sz w:val="20"/>
                <w:szCs w:val="20"/>
                <w:color w:val="auto"/>
              </w:rPr>
            </w:pPr>
            <w:r>
              <w:rPr>
                <w:rFonts w:ascii="Arial" w:cs="Arial" w:eastAsia="Arial" w:hAnsi="Arial"/>
                <w:sz w:val="16"/>
                <w:szCs w:val="16"/>
                <w:color w:val="auto"/>
              </w:rPr>
              <w:t>stock</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160"/>
              <w:spacing w:after="0"/>
              <w:rPr>
                <w:sz w:val="20"/>
                <w:szCs w:val="20"/>
                <w:color w:val="auto"/>
              </w:rPr>
            </w:pPr>
            <w:r>
              <w:rPr>
                <w:rFonts w:ascii="Arial" w:cs="Arial" w:eastAsia="Arial" w:hAnsi="Arial"/>
                <w:sz w:val="16"/>
                <w:szCs w:val="16"/>
                <w:color w:val="auto"/>
              </w:rPr>
              <w:t>options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40" w:type="dxa"/>
            <w:vAlign w:val="bottom"/>
          </w:tcPr>
          <w:p>
            <w:pPr>
              <w:ind w:left="40"/>
              <w:spacing w:after="0"/>
              <w:rPr>
                <w:sz w:val="20"/>
                <w:szCs w:val="20"/>
                <w:color w:val="auto"/>
              </w:rPr>
            </w:pPr>
            <w:r>
              <w:rPr>
                <w:rFonts w:ascii="Arial" w:cs="Arial" w:eastAsia="Arial" w:hAnsi="Arial"/>
                <w:sz w:val="16"/>
                <w:szCs w:val="16"/>
                <w:color w:val="auto"/>
              </w:rPr>
              <w:t>exercised</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11,842</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11,842</w:t>
            </w:r>
          </w:p>
        </w:tc>
        <w:tc>
          <w:tcPr>
            <w:tcW w:w="0" w:type="dxa"/>
            <w:vAlign w:val="bottom"/>
          </w:tcPr>
          <w:p>
            <w:pPr>
              <w:spacing w:after="0"/>
              <w:rPr>
                <w:sz w:val="1"/>
                <w:szCs w:val="1"/>
                <w:color w:val="auto"/>
              </w:rPr>
            </w:pPr>
          </w:p>
        </w:tc>
      </w:tr>
      <w:tr>
        <w:trPr>
          <w:trHeight w:val="33"/>
        </w:trPr>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paid</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(91,551)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(91,551)</w:t>
            </w:r>
          </w:p>
        </w:tc>
        <w:tc>
          <w:tcPr>
            <w:tcW w:w="0" w:type="dxa"/>
            <w:vAlign w:val="bottom"/>
          </w:tcPr>
          <w:p>
            <w:pPr>
              <w:spacing w:after="0"/>
              <w:rPr>
                <w:sz w:val="1"/>
                <w:szCs w:val="1"/>
                <w:color w:val="auto"/>
              </w:rPr>
            </w:pPr>
          </w:p>
        </w:tc>
      </w:tr>
      <w:tr>
        <w:trPr>
          <w:trHeight w:val="220"/>
        </w:trPr>
        <w:tc>
          <w:tcPr>
            <w:tcW w:w="1340" w:type="dxa"/>
            <w:vAlign w:val="bottom"/>
          </w:tcPr>
          <w:p>
            <w:pPr>
              <w:ind w:left="40"/>
              <w:spacing w:after="0"/>
              <w:rPr>
                <w:sz w:val="20"/>
                <w:szCs w:val="20"/>
                <w:color w:val="auto"/>
              </w:rPr>
            </w:pPr>
            <w:r>
              <w:rPr>
                <w:rFonts w:ascii="Arial" w:cs="Arial" w:eastAsia="Arial" w:hAnsi="Arial"/>
                <w:sz w:val="16"/>
                <w:szCs w:val="16"/>
                <w:color w:val="auto"/>
              </w:rPr>
              <w:t>Distributions to</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160"/>
              <w:spacing w:after="0"/>
              <w:rPr>
                <w:sz w:val="20"/>
                <w:szCs w:val="20"/>
                <w:color w:val="auto"/>
              </w:rPr>
            </w:pPr>
            <w:r>
              <w:rPr>
                <w:rFonts w:ascii="Arial" w:cs="Arial" w:eastAsia="Arial" w:hAnsi="Arial"/>
                <w:sz w:val="16"/>
                <w:szCs w:val="16"/>
                <w:color w:val="auto"/>
              </w:rPr>
              <w:t>noncontrolling</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40" w:type="dxa"/>
            <w:vAlign w:val="bottom"/>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(14,956)</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(14,956)</w:t>
            </w:r>
          </w:p>
        </w:tc>
        <w:tc>
          <w:tcPr>
            <w:tcW w:w="0" w:type="dxa"/>
            <w:vAlign w:val="bottom"/>
          </w:tcPr>
          <w:p>
            <w:pPr>
              <w:spacing w:after="0"/>
              <w:rPr>
                <w:sz w:val="1"/>
                <w:szCs w:val="1"/>
                <w:color w:val="auto"/>
              </w:rPr>
            </w:pPr>
          </w:p>
        </w:tc>
      </w:tr>
      <w:tr>
        <w:trPr>
          <w:trHeight w:val="33"/>
        </w:trPr>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Noncontrolling</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in</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acquired</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business</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1,597</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196"/>
        </w:trPr>
        <w:tc>
          <w:tcPr>
            <w:tcW w:w="1340" w:type="dxa"/>
            <w:vAlign w:val="bottom"/>
          </w:tcPr>
          <w:p>
            <w:pPr>
              <w:ind w:left="40"/>
              <w:spacing w:after="0"/>
              <w:rPr>
                <w:sz w:val="20"/>
                <w:szCs w:val="20"/>
                <w:color w:val="auto"/>
              </w:rPr>
            </w:pPr>
            <w:r>
              <w:rPr>
                <w:rFonts w:ascii="Arial" w:cs="Arial" w:eastAsia="Arial" w:hAnsi="Arial"/>
                <w:sz w:val="16"/>
                <w:szCs w:val="16"/>
                <w:b w:val="1"/>
                <w:bCs w:val="1"/>
                <w:color w:val="auto"/>
              </w:rPr>
              <w:t>Balances at</w:t>
            </w: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40"/>
              <w:spacing w:after="0"/>
              <w:rPr>
                <w:sz w:val="20"/>
                <w:szCs w:val="20"/>
                <w:color w:val="auto"/>
              </w:rPr>
            </w:pPr>
            <w:r>
              <w:rPr>
                <w:rFonts w:ascii="Arial" w:cs="Arial" w:eastAsia="Arial" w:hAnsi="Arial"/>
                <w:sz w:val="16"/>
                <w:szCs w:val="16"/>
                <w:b w:val="1"/>
                <w:bCs w:val="1"/>
                <w:color w:val="auto"/>
              </w:rPr>
              <w:t>December 31,</w:t>
            </w: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color w:val="auto"/>
                <w:w w:val="92"/>
              </w:rPr>
              <w:t>134,663,244</w:t>
            </w:r>
          </w:p>
        </w:tc>
        <w:tc>
          <w:tcPr>
            <w:tcW w:w="100" w:type="dxa"/>
            <w:vAlign w:val="bottom"/>
          </w:tcPr>
          <w:p>
            <w:pPr>
              <w:spacing w:after="0"/>
              <w:rPr>
                <w:sz w:val="17"/>
                <w:szCs w:val="17"/>
                <w:color w:val="auto"/>
              </w:rPr>
            </w:pPr>
          </w:p>
        </w:tc>
        <w:tc>
          <w:tcPr>
            <w:tcW w:w="660" w:type="dxa"/>
            <w:vAlign w:val="bottom"/>
            <w:vMerge w:val="restart"/>
          </w:tcPr>
          <w:p>
            <w:pPr>
              <w:jc w:val="right"/>
              <w:ind w:right="19"/>
              <w:spacing w:after="0"/>
              <w:rPr>
                <w:sz w:val="20"/>
                <w:szCs w:val="20"/>
                <w:color w:val="auto"/>
              </w:rPr>
            </w:pPr>
            <w:r>
              <w:rPr>
                <w:rFonts w:ascii="Arial" w:cs="Arial" w:eastAsia="Arial" w:hAnsi="Arial"/>
                <w:sz w:val="16"/>
                <w:szCs w:val="16"/>
                <w:color w:val="auto"/>
              </w:rPr>
              <w:t>$ 1,347</w:t>
            </w:r>
          </w:p>
        </w:tc>
        <w:tc>
          <w:tcPr>
            <w:tcW w:w="100" w:type="dxa"/>
            <w:vAlign w:val="bottom"/>
          </w:tcPr>
          <w:p>
            <w:pPr>
              <w:spacing w:after="0"/>
              <w:rPr>
                <w:sz w:val="17"/>
                <w:szCs w:val="17"/>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color w:val="auto"/>
                <w:w w:val="92"/>
              </w:rPr>
              <w:t>4,444,898</w:t>
            </w: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w w:val="92"/>
              </w:rPr>
              <w:t>$(258,312)</w:t>
            </w:r>
          </w:p>
        </w:tc>
        <w:tc>
          <w:tcPr>
            <w:tcW w:w="100" w:type="dxa"/>
            <w:vAlign w:val="bottom"/>
          </w:tcPr>
          <w:p>
            <w:pPr>
              <w:spacing w:after="0"/>
              <w:rPr>
                <w:sz w:val="17"/>
                <w:szCs w:val="17"/>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w w:val="92"/>
              </w:rPr>
              <w:t>$ 542,148</w:t>
            </w:r>
          </w:p>
        </w:tc>
        <w:tc>
          <w:tcPr>
            <w:tcW w:w="120" w:type="dxa"/>
            <w:vAlign w:val="bottom"/>
          </w:tcPr>
          <w:p>
            <w:pPr>
              <w:spacing w:after="0"/>
              <w:rPr>
                <w:sz w:val="17"/>
                <w:szCs w:val="17"/>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w w:val="92"/>
              </w:rPr>
              <w:t>$3,109,987</w:t>
            </w: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  (8,607)</w:t>
            </w: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w w:val="92"/>
              </w:rPr>
              <w:t>$(115,690)</w:t>
            </w:r>
          </w:p>
        </w:tc>
        <w:tc>
          <w:tcPr>
            <w:tcW w:w="10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  (4,995)</w:t>
            </w:r>
          </w:p>
        </w:tc>
        <w:tc>
          <w:tcPr>
            <w:tcW w:w="120" w:type="dxa"/>
            <w:vAlign w:val="bottom"/>
          </w:tcPr>
          <w:p>
            <w:pPr>
              <w:spacing w:after="0"/>
              <w:rPr>
                <w:sz w:val="17"/>
                <w:szCs w:val="17"/>
                <w:color w:val="auto"/>
              </w:rPr>
            </w:pP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  296,053</w:t>
            </w:r>
          </w:p>
        </w:tc>
        <w:tc>
          <w:tcPr>
            <w:tcW w:w="100" w:type="dxa"/>
            <w:vAlign w:val="bottom"/>
          </w:tcPr>
          <w:p>
            <w:pPr>
              <w:spacing w:after="0"/>
              <w:rPr>
                <w:sz w:val="17"/>
                <w:szCs w:val="17"/>
                <w:color w:val="auto"/>
              </w:rPr>
            </w:pP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w w:val="92"/>
              </w:rPr>
              <w:t>$ 3,561,931</w:t>
            </w:r>
          </w:p>
        </w:tc>
        <w:tc>
          <w:tcPr>
            <w:tcW w:w="0" w:type="dxa"/>
            <w:vAlign w:val="bottom"/>
          </w:tcPr>
          <w:p>
            <w:pPr>
              <w:spacing w:after="0"/>
              <w:rPr>
                <w:sz w:val="1"/>
                <w:szCs w:val="1"/>
                <w:color w:val="auto"/>
              </w:rPr>
            </w:pPr>
          </w:p>
        </w:tc>
      </w:tr>
      <w:tr>
        <w:trPr>
          <w:trHeight w:val="228"/>
        </w:trPr>
        <w:tc>
          <w:tcPr>
            <w:tcW w:w="1340" w:type="dxa"/>
            <w:vAlign w:val="bottom"/>
          </w:tcPr>
          <w:p>
            <w:pPr>
              <w:ind w:left="40"/>
              <w:spacing w:after="0"/>
              <w:rPr>
                <w:sz w:val="20"/>
                <w:szCs w:val="20"/>
                <w:color w:val="auto"/>
              </w:rPr>
            </w:pPr>
            <w:r>
              <w:rPr>
                <w:rFonts w:ascii="Arial" w:cs="Arial" w:eastAsia="Arial" w:hAnsi="Arial"/>
                <w:sz w:val="16"/>
                <w:szCs w:val="16"/>
                <w:b w:val="1"/>
                <w:bCs w:val="1"/>
                <w:color w:val="auto"/>
              </w:rPr>
              <w:t>2015</w:t>
            </w: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5" w:name="page56"/>
    <w:bookmarkEnd w:id="55"/>
    <w:p>
      <w:pPr>
        <w:spacing w:after="0" w:line="62"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0"/>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2013</w:t>
            </w:r>
          </w:p>
        </w:tc>
      </w:tr>
      <w:tr>
        <w:trPr>
          <w:trHeight w:val="385"/>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(in thousands of dollars)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665,045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685,016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610,425</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245,757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208,486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157,808</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5,514</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1,459</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6,966</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Loss from disposition of fixed assets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5,039</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from sales of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29"/>
        </w:trPr>
        <w:tc>
          <w:tcPr>
            <w:tcW w:w="6760" w:type="dxa"/>
            <w:vAlign w:val="bottom"/>
          </w:tcPr>
          <w:p>
            <w:pPr>
              <w:ind w:left="380"/>
              <w:spacing w:after="0"/>
              <w:rPr>
                <w:sz w:val="20"/>
                <w:szCs w:val="20"/>
                <w:color w:val="auto"/>
              </w:rPr>
            </w:pPr>
            <w:r>
              <w:rPr>
                <w:rFonts w:ascii="Arial" w:cs="Arial" w:eastAsia="Arial" w:hAnsi="Arial"/>
                <w:sz w:val="18"/>
                <w:szCs w:val="18"/>
                <w:color w:val="auto"/>
              </w:rPr>
              <w:t>Gain on acquisition, net of loss on the fair value remeasurement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60" w:type="dxa"/>
            <w:vAlign w:val="bottom"/>
          </w:tcPr>
          <w:p>
            <w:pPr>
              <w:ind w:left="520"/>
              <w:spacing w:after="0"/>
              <w:rPr>
                <w:sz w:val="20"/>
                <w:szCs w:val="20"/>
                <w:color w:val="auto"/>
              </w:rPr>
            </w:pPr>
            <w:r>
              <w:rPr>
                <w:rFonts w:ascii="Arial" w:cs="Arial" w:eastAsia="Arial" w:hAnsi="Arial"/>
                <w:sz w:val="18"/>
                <w:szCs w:val="18"/>
                <w:color w:val="auto"/>
              </w:rPr>
              <w:t>of preexisting equity interest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equity method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58,967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93,732</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Windfall tax benefits from share-based payment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(5,449)</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(Income) loss from equity method investments, net of dividends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199</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losses,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(14,830)</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51,087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(46,633)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(97,237)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13,820</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(15,147)</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(60,090)</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1,078,836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1,032,376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752,729</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business,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(611,087)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(178,309)</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Additions to equity investments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(23,338)</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(491,426)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(679,222)</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Construction of assets pending sale-leaseback</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disposition of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Proceeds from disposition of equity method investment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27,865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repayment of loan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Proceeds from repayment of loan to affiliate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167</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and maturities of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342,045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252,519</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Purchase of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(605,098)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(117,332)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(367,150)</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of derivative instruments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(6,920)</w:t>
            </w:r>
          </w:p>
        </w:tc>
      </w:tr>
      <w:tr>
        <w:trPr>
          <w:trHeight w:val="237"/>
        </w:trPr>
        <w:tc>
          <w:tcPr>
            <w:tcW w:w="6760" w:type="dxa"/>
            <w:vAlign w:val="bottom"/>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(1,006,176)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(773,205)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(1,002,238)</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Capitalized debt issuance costs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(55,236)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Distributions to noncontrolling interests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proceeds from issuance of Westlake Chemical Partners LP</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units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286,088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3,437</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notes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Repayment of notes payable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(73,615)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 for treasury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(32,918)</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Windfall tax benefits from share-based payment arrangements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5,449</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(286,812)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(79,268)</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(328,777)</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the year</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880,601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461,301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790,078</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the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662,525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880,601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461,301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ectPr>
          <w:pgSz w:w="11900" w:h="16900" w:orient="portrait"/>
          <w:cols w:equalWidth="0" w:num="1">
            <w:col w:w="11420"/>
          </w:cols>
          <w:pgMar w:left="240" w:top="122" w:right="239" w:bottom="0" w:gutter="0" w:footer="0" w:header="0"/>
        </w:sectPr>
      </w:pPr>
    </w:p>
    <w:bookmarkStart w:id="56" w:name="page57"/>
    <w:bookmarkEnd w:id="56"/>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9019"/>
          </w:cols>
          <w:pgMar w:left="1440" w:top="557"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9019"/>
          </w:cols>
          <w:pgMar w:left="1440" w:top="557" w:right="1440" w:bottom="1440" w:gutter="0" w:footer="0" w:header="0"/>
          <w:type w:val="continuous"/>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680" w:firstLine="8"/>
        <w:spacing w:after="0" w:line="346" w:lineRule="auto"/>
        <w:tabs>
          <w:tab w:leader="none" w:pos="1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Significant Accounting Policies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Westlake Chemical Corporation (the "Company") operates as an integrated global manufacturer and marketer of basic chemicals, vinyls, polymers and building products. These products include some of the most widely used chemicals in the world, which are fundamental to many diverse consumer and industrial markets, including flexible and rigid packaging, automotive products, coatings, residential and commercial construction as well as other durable and non-durable goods. The Company's customers range from large chemical processors and plastics fabricators to small construction contractors, municipalities and supply warehouses primarily throughout North America and Europe. The petrochemical industry is subject to price fluctuations and volatile feedstock pricing typical of a commodity-based industry, the effects of which may not be immediately passed along to customers.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 and Initial Public Offering of a Master Limited Partnership</w:t>
      </w:r>
    </w:p>
    <w:p>
      <w:pPr>
        <w:spacing w:after="0" w:line="90"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In 2014, the Company formed Westlake Chemical Partners LP ("Westlake Partners") to operate, acquire and develop facilities for the processing of natural gas liquids and related assets. Also in 2014, Westlake Partners completed an initial public offering of 12,937,500 common units (the "Westlake Partners IPO"). As of December 31, 2015, Westlake Partners' assets consist of a 13.3% limited partner interest in Westlake Chemical OpCo LP ("OpCo"), as well as the general partner interest in OpCo. OpCo's assets include two natural gas liquids processing facilities at the Company's Lake Charles, Louisiana site, one natural gas liquids processing facility at the Company's Calvert City, Kentucky site and a 200-mile common carrier ethylene pipeline that runs from Mont Belvieu, Texas to the Company's Longview, Texas site. As of December 31, 2015, the Company held an 86.7% limited partner interest in OpCo and a significant interest in Westlake Partners. The operations of Westlake Partners are consolidated in the Company's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consolidated financial statements include the accounts of the Company and subsidiaries in which the Company directly or indirectly owns more than a 50% voting interest and exercises control and, when applicable, entities for which the Company has a controlling financial interest or is the primary beneficiary. Investments in majority-owned companies where the Company does not exercise control and investments in nonconsolidated affiliates (20%-50% owned companies, joint ventures and partnerships) are accounted for using the equity method of accounting. There were no undistributed earnings from equity investments included in retained earnings as of December 31, 2015.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Cash equivalents consist of highly liquid investments that are readily convertible into cash and have a maturity of three months or less at the date of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Investments in debt and equity securities are classified as trading, available-for-sale or held-to-maturity. Investments classified as trading are carried at estimated fair value with changes in fair value currently recognized in earnings. Investments classified as available-for-sale are carried at estimated fair value with unrealized gains and losses recorded as a component of accumulated other comprehensive income. Investments classified as held-to-maturity are carried at amortized cost. The Company periodically reviews its available-for-sale and held-to-maturity securities for other-than-temporary declines in fair value below the cost basis, and when events or changes in circumstances indicate the carrying value of an asset may not be recoverable, the investment is written down to fair value, establishing a new cost basis.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jc w:val="both"/>
        <w:ind w:right="240" w:firstLine="432"/>
        <w:spacing w:after="0" w:line="302" w:lineRule="auto"/>
        <w:rPr>
          <w:sz w:val="20"/>
          <w:szCs w:val="20"/>
          <w:color w:val="auto"/>
        </w:rPr>
      </w:pPr>
      <w:r>
        <w:rPr>
          <w:rFonts w:ascii="Arial" w:cs="Arial" w:eastAsia="Arial" w:hAnsi="Arial"/>
          <w:sz w:val="16"/>
          <w:szCs w:val="16"/>
          <w:color w:val="auto"/>
        </w:rPr>
        <w:t>The determination of the allowance for doubtful accounts is based on estimation of the amount of accounts receivable that the Company believes are unlikely to be collected. Estimating this amount requires analysis of the financial strength of the Company's customers, the use of historical experience, the Company's accounts receivable aged trial balance, and specific collectibility analysis. The allowance for doubtful accounts is reviewed quarterly. Past due balances over 90 days and high risk accounts as determined by the analysis of financial strength of customers are reviewed individually for collectibility.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Inventories primarily include product, material and supplies. Inventories are stated at lower of cost or market. Cost is determined using the first-in, first-out ("FIFO") or average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Property, plant and equipment are carried at cost, net of accumulated depreciation. Cost includes expenditures for improvements and betterments that extend the useful lives of the assets and interest capitalized on significant capital projects. Capitalized interest was $10,449, $7,059 and $25,932 for the years ended December 31, 2015, 2014 and 2013, respectively. Repair and maintenance costs are charged to operations as incurred. Gains and losses on the disposition or retirement of fixed assets are reflected in the consolidated statement of operations when the assets are sold or retired.</w:t>
      </w:r>
    </w:p>
    <w:p>
      <w:pPr>
        <w:spacing w:after="0" w:line="100" w:lineRule="exact"/>
        <w:rPr>
          <w:sz w:val="20"/>
          <w:szCs w:val="20"/>
          <w:color w:val="auto"/>
        </w:rPr>
      </w:pPr>
    </w:p>
    <w:p>
      <w:pPr>
        <w:jc w:val="both"/>
        <w:ind w:right="120" w:firstLine="432"/>
        <w:spacing w:after="0" w:line="288" w:lineRule="auto"/>
        <w:rPr>
          <w:sz w:val="20"/>
          <w:szCs w:val="20"/>
          <w:color w:val="auto"/>
        </w:rPr>
      </w:pPr>
      <w:r>
        <w:rPr>
          <w:rFonts w:ascii="Arial" w:cs="Arial" w:eastAsia="Arial" w:hAnsi="Arial"/>
          <w:sz w:val="16"/>
          <w:szCs w:val="16"/>
          <w:color w:val="auto"/>
        </w:rPr>
        <w:t>The accounting guidance for asset retirement obligations requires the recording of liabilities equal to the fair value of asset retirement obligations and corresponding additional asset costs, when there is a legal asset retirement obligation as a result of existing or enacted law, statute or contract. The Company has conditional asset retirement obligations for the removal and disposal of hazardous materials from certain of the Company's manufacturing facilities.</w:t>
      </w:r>
    </w:p>
    <w:p>
      <w:pPr>
        <w:ind w:right="180"/>
        <w:spacing w:after="0" w:line="277" w:lineRule="auto"/>
        <w:rPr>
          <w:sz w:val="20"/>
          <w:szCs w:val="20"/>
          <w:color w:val="auto"/>
        </w:rPr>
      </w:pPr>
      <w:r>
        <w:rPr>
          <w:rFonts w:ascii="Arial" w:cs="Arial" w:eastAsia="Arial" w:hAnsi="Arial"/>
          <w:sz w:val="17"/>
          <w:szCs w:val="17"/>
          <w:color w:val="auto"/>
        </w:rPr>
        <w:t>However, no asset retirement obligations have been recognized because the fair value of the conditional legal obligation cannot be measured due to the indeterminate settlement date of the obligation. Settlement of these conditional asset retirement obligations is not expected to have a material adverse effect on the Company's financial condition, results of operations or cash flows in any individual reporting period.</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Depreciation is provided by utilizing the straight-line method over the estimated useful lives of the assets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Classification</w:t>
            </w:r>
          </w:p>
        </w:tc>
        <w:tc>
          <w:tcPr>
            <w:tcW w:w="90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Years</w:t>
            </w:r>
          </w:p>
        </w:tc>
      </w:tr>
      <w:tr>
        <w:trPr>
          <w:trHeight w:val="371"/>
        </w:trPr>
        <w:tc>
          <w:tcPr>
            <w:tcW w:w="10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10380" w:type="dxa"/>
            <w:vAlign w:val="bottom"/>
            <w:gridSpan w:val="2"/>
          </w:tcPr>
          <w:p>
            <w:pPr>
              <w:ind w:left="40"/>
              <w:spacing w:after="0"/>
              <w:rPr>
                <w:sz w:val="20"/>
                <w:szCs w:val="20"/>
                <w:color w:val="auto"/>
              </w:rPr>
            </w:pPr>
            <w:r>
              <w:rPr>
                <w:rFonts w:ascii="Arial" w:cs="Arial" w:eastAsia="Arial" w:hAnsi="Arial"/>
                <w:sz w:val="18"/>
                <w:szCs w:val="18"/>
                <w:color w:val="auto"/>
              </w:rPr>
              <w:t>Plant and equipment</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138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0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Ethylene pipeline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103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spacing w:after="0"/>
              <w:rPr>
                <w:sz w:val="20"/>
                <w:szCs w:val="20"/>
                <w:color w:val="auto"/>
              </w:rPr>
            </w:pPr>
            <w:r>
              <w:rPr>
                <w:rFonts w:ascii="Arial" w:cs="Arial" w:eastAsia="Arial" w:hAnsi="Arial"/>
                <w:sz w:val="18"/>
                <w:szCs w:val="18"/>
                <w:color w:val="auto"/>
              </w:rPr>
              <w:t>3-10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Estimates</w:t>
      </w:r>
    </w:p>
    <w:p>
      <w:pPr>
        <w:spacing w:after="0" w:line="90"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Company develops estimates of fair value to allocate the purchase price paid to acquire a business to the assets acquired and liabilities assumed in an acquisition, to assess impairment of long-lived assets, goodwill and intangible assets and to record marketable securities, derivative instruments and pension plan assets. The Company uses all available information to make these fair value determinations, including the engagement of third-party consultants.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accounting guidance for the impairment or disposal of long-lived assets requires that the Company review long-lived assets for impairment whenever events or changes in circumstances indicate that the carrying amount of an asset may not be recoverable. Long-lived assets assessed for impairment are grouped at the lowest level for which identifiable cash flows are largely independent of the cash flows of other assets and liabilities. Recoverability of assets to be held and used is measured by a comparison of the carrying amount of an asset to future net undiscounted cash flows expected to be generated by the asset. Assets are considered to be impaired if the carrying amount of an asset exceeds the future undiscounted cash flows. The impairment recognized is measured by the amount by which the carrying amount of the assets exceeds the fair value of the assets. Assets to be disposed of are reported at the lower of the carrying amount or estimated fair value less costs to sell.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Intangible Assets</w:t>
      </w:r>
    </w:p>
    <w:p>
      <w:pPr>
        <w:spacing w:after="0" w:line="90"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The accounting guidance for goodwill and intangible assets requires that goodwill and indefinite-lived intangible assets are tested for impairment at least annually. Other intangible assets with finite lives are amortized over their estimated useful life and reviewed for impairment in accordance with the provisions of the accounting guidance. As of December 31, 2015, the Company's recorded goodwill was $62,016. See Note 6 for more information on the Company's annual goodwill impairment tests.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2" w:right="25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Turnaround Costs</w:t>
      </w:r>
    </w:p>
    <w:p>
      <w:pPr>
        <w:spacing w:after="0" w:line="9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Company accounts for turnaround costs under the deferral method. Turnarounds are the scheduled and required shutdowns of specific operating units in order to perform planned major maintenance activities. The costs related to the significant overhaul and refurbishment activities include maintenance materials, parts and direct labor costs. The costs of the turnaround are deferred when incurred at the time of the turnaround and amortized (within depreciation and amortization) on a straight-line basis until the next planned turnaround, which ranges from three to six years. Deferred turnaround costs are presented as a component of other assets, net. The cash outflows related to these costs are included in operating activities in the consolidated statement of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Exchanges</w:t>
      </w:r>
    </w:p>
    <w:p>
      <w:pPr>
        <w:spacing w:after="0" w:line="9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enters into inventory exchange transactions with third parties, which involve fungible commodities. These exchanges are settled in like-kind quantities and are valued at lower of cost or market. Cost is determined using the FIFO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The Company utilizes the liability method of accounting for deferred income taxes. Under the liability method, deferred tax assets or liabilities are recorded based upon temporary differences between the tax basis of assets and liabilities and their carrying values for financial reporting purposes. Deferred tax expense or benefit is the result of changes in the deferred tax assets and liabilities during the period. Valuation allowances are recorded against deferred tax assets when it is considered more likely than not that the deferred tax assets will not be realized.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Assets and liabilities of foreign subsidiaries are translated to U.S. dollars at the exchange rate as of the end of the year. Statement of operations items are translated at the average exchange rate for the year. The resulting translation adjustment is recorded as a separate component of stockholders' equity.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Financial instruments which potentially subject the Company to concentration of risk consist principally of trade receivables from customers engaged in manufacturing polyethylene products, polyvinyl chloride ("PVC") products and PVC pipe products. The Company performs periodic credit evaluations of the customers' financial condition and generally does not require collateral. The Company maintains allowances for potential losses.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Revenue is recognized when persuasive evidence of an arrangement exists, products are delivered to the customer, the sales price is fixed or determinable and collectability is reasonably assured. For domestic contracts, title and risk of loss passes to the customer upon delivery under executed customer purchase orders or contracts. For export contracts, the title and risk of loss passes to customers at the time specified by each contract. Provisions for discounts, rebates and returns are provided for in the same period as the related sales are recorded.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The accounting guidance for earnings per share requires the Company to present basic earnings per share and diluted earnings per share. Basic earnings per share excludes dilution and is computed by dividing income available to common stockholders by the weighted average number of shares outstanding for the period. Diluted earnings per share reflects the dilution that could occur if securities or other contracts to issue common stock were exercised or converted into common stock or resulted in the issuance of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Risk Management</w:t>
      </w:r>
    </w:p>
    <w:p>
      <w:pPr>
        <w:spacing w:after="0" w:line="90"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The accounting guidance for derivative instruments and hedging activities requires that the Company recognize all derivative instruments on the balance sheet at fair value, and changes in the derivative's fair value must be currently recognized in earnings or comprehensive income, depending on the designation of the derivative. If the derivative is designated as a fair value hedge, the changes in the fair value of the derivative and of the hedged item attributable to the hedged risk are recognized in earnings. If the derivative is designated as a cash flow hedge, the effective portion of the change in the fair value of the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derivative is recorded in comprehensive income and is recognized in the statement of operations when the hedged item affects earnings. Ineffective portions of changes in the fair value of cash flow hedges are recognized in earnings currently.</w:t>
      </w:r>
    </w:p>
    <w:p>
      <w:pPr>
        <w:spacing w:after="0" w:line="116"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Company utilizes commodity price swaps to reduce price risks by entering into price swaps with counterparties and by purchasing or selling futures on established exchanges. The Company takes both fixed and variable positions, depending upon anticipated future physical purchases and sales of these commodities. The fair value of derivative financial instruments is estimated using quoted market prices in active markets and observable market-based inputs or unobservable inputs that are corroborated by market data when active markets are not available. The Company assesses both counterparty as well as its own nonperformance risk when measuring the fair value of derivative liabilities. The Company does not consider its nonperformance risk to be significant. See Note 14 for a summary of the fair value of derivative instruments.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Costs</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Environmental costs relating to current operations are expensed or capitalized, as appropriate, depending on whether such costs provide future economic benefits. Remediation liabilities are recognized when the costs are considered probable and can be reasonably estimated. Measurement of liabilities is based on currently enacted laws and regulations, existing technology and undiscounted site-specific costs. Environmental liabilities in connection with properties that are sold or closed are realized upon such sale or closure, to the extent they are probable and estimable and not previously reserved. Recognition of any joint and several liabilities is based upon the Company's best estimate of its final pro rata share of the liability.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amounts reported in the balance sheet for cash and cash equivalents, accounts receivable, net and accounts payable approximate their fair value due to the short maturities of these instruments. The fair value of the Company's debt at December 31, 2015 differs from the carrying value due to the Company's fixed rate senior notes. The fair value of financial instruments is estimated using quoted market prices in active markets and observable market-based inputs or unobservable inputs that are corroborated by market data when active markets are not available. See Note 14 for more information on the fair value of financial instruments.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revenues and expenses, and the disclosure of contingent assets and liabilities. Actual results could differ from those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Amortization of debt issuance costs is computed on a basis which approximates the interest method over the term of the related debt. Certain other assets (see Note 6) are amortized over periods ranging from one to 30 years using the straight-line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May 2014, the Financial Accounting Standards Board ("FASB") issued an accounting standards update on a comprehensive new revenue recognition standard that will supersede the existing revenue recognition guidance. The new accounting guidance creates a framework by which an entity will allocate the transaction price to separate performance obligations and recognize revenue when each performance obligation is satisfied. Under the new standard, entities will be required to use judgment and make estimates, including identifying performance obligations in a contract, estimating the amount of variable consideration to include in the transaction price, allocating the transaction price to each separate performance obligation and determining when an entity satisfies its performance obligations. The standard allows for either "full retrospective" adoption, meaning that the standard is applied to all of the periods presented with a cumulative catch-up as of the earliest period presented, or "modified retrospective" adoption, meaning the standard is applied only to the most current period presented in the financial statements with a cumulative catch-up as of the current period. In July 2015, the FASB deferred the effective date for the revenue recognition standard. The accounting standard will now be effective for reporting periods beginning after December 15, 2017. The Company is in the process of evaluating the impact that the new accounting guidance will have on its consolidated financial position, results of operations and cash flows.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Income Statement Presentation by Eliminating the Concept of Extraordinary Items</w:t>
      </w:r>
    </w:p>
    <w:p>
      <w:pPr>
        <w:spacing w:after="0" w:line="9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 January 2015, the FASB issued an accounting standards update to simplify income statement classification by removing the concept of extraordinary items from U.S. GAAP. Under the new standard, an unusual and infrequent event or transaction is no longer allowed to be separately disclosed as "extraordinary." The standard retains the existing requirement to separately present items that are of an unusual nature or occur infrequently on a pre-tax basis within income from continuing operations. The new guidance also requires similar separate presentation of items that are both unusual and infrequent on a pre-tax basis within income from continuing operations. The standard allows for either prospective or retrospective application. If adopted prospectively, both the nature and amount of any subsequent adjustments to previously reported extraordinary items must be disclosed. The accounting standard will be effective for reporting periods beginning after December 15, 2015 and is not expected to have an impact on the Company's consolidated financial position, results of operations and cash flows.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the Consolidation Analysis</w:t>
      </w:r>
    </w:p>
    <w:p>
      <w:pPr>
        <w:spacing w:after="0" w:line="90"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In February 2015, the FASB issued an accounting standards update making certain changes to the current consolidation guidance. The amendments affect both the variable interest entity and voting interest entity consolidation models. The new standard changes the consideration of substantive rights, related party interests and fees paid to the decision maker when applying the variable interest entity consolidation model and eliminates certain guidance for limited partnerships and similar entities under the voting interest consolidation model. The accounting standard will be effective for annual periods beginning after December 15, 2015 and is not expected to have an impact on the Company's consolidated financial position, results of operations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the Presentation of Debt Issuance Costs</w:t>
      </w:r>
    </w:p>
    <w:p>
      <w:pPr>
        <w:spacing w:after="0" w:line="90"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In April 2015, the FASB issued an accounting standards update on simplifying the presentation of debt issuance costs, which requires all costs incurred to issue debt to be presented in the balance sheet as a direct deduction from the carrying value of the associated debt liability, consistent with the presentation of a debt discount. The accounting standard will be effective for reporting periods beginning after December 15, 2015 and is not expected to have an impact on the Company's consolidated financial position, results of operations and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the Measurement of Inventory</w:t>
      </w:r>
    </w:p>
    <w:p>
      <w:pPr>
        <w:spacing w:after="0" w:line="90" w:lineRule="exact"/>
        <w:rPr>
          <w:sz w:val="20"/>
          <w:szCs w:val="20"/>
          <w:color w:val="auto"/>
        </w:rPr>
      </w:pPr>
    </w:p>
    <w:p>
      <w:pPr>
        <w:ind w:right="320" w:firstLine="432"/>
        <w:spacing w:after="0" w:line="273" w:lineRule="auto"/>
        <w:rPr>
          <w:sz w:val="20"/>
          <w:szCs w:val="20"/>
          <w:color w:val="auto"/>
        </w:rPr>
      </w:pPr>
      <w:r>
        <w:rPr>
          <w:rFonts w:ascii="Arial" w:cs="Arial" w:eastAsia="Arial" w:hAnsi="Arial"/>
          <w:sz w:val="17"/>
          <w:szCs w:val="17"/>
          <w:color w:val="auto"/>
        </w:rPr>
        <w:t>In July 2015, the FASB issued an accounting standards update that requires entities to measure inventory at the lower of cost or net realizable value rather than at the lower of cost or market. Net realizable value is the estimated selling price in the ordinary course of business, less reasonably predictable costs of completion, disposal and transportation. Under the new standard, entities will no longer need to calculate other measures of "market." The new accounting guidance applies only to inventories for which cost is determined by methods other than last-in, first-out and the retail inventory method. The accounting standard will be effective for reporting periods beginning after December 15, 2016 and is not expected to have a significant impact on the Company's consolidated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Presentation and Subsequent Measurement of Debt Issuance Costs Associated with Line-of-Credit Arrangements</w:t>
      </w:r>
    </w:p>
    <w:p>
      <w:pPr>
        <w:spacing w:after="0" w:line="9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 xml:space="preserve">In August 2015, the FASB issued final guidance incorporating into the Accounting Standards Codification a June 2015 SEC staff announcement that the SEC staff will not object to an entity presenting the cost of securing a revolving line of credit as an asset, regardless of whether a balance is outstanding. The announcement came in response to questions that arose after the FASB issued the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xml:space="preserve"> standard in April 2015, which standard requires debt issuance costs related to a recognized debt liability to be presented in the balance sheet as a direct deduction from the debt liability rather than as an asset. That standard, as issued, did not address revolving lines of credit, which may not have outstanding balances. An entity that repeatedly draws on a revolving credit facility and then repays the balance could also present the cost as an asset and reclassify all or a portion of it as a direct deduction from the liability whenever a balance is outstanding. Regardless of asset or contra-liability presentation, debt issuance costs should be amortized over the term of the arrangement. The accounting standard became effective upon announcement in June 2015 and did not have an impact on the Company's consolidated financial position, results of operations and cash flows.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the Accounting for Measurement-Period Adjustments</w:t>
      </w:r>
    </w:p>
    <w:p>
      <w:pPr>
        <w:spacing w:after="0" w:line="9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September 2015, the FASB issued an accounting standards update that requires an acquirer to recognize adjustments to provisional amounts that are identified during the measurement period in the reporting period in which the adjustment amounts are determined. The guidance requires that the acquirer record, in the same period's financial statements, the effect on earnings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22" w:right="27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of changes in depreciation, amortization or other income effects, if any, as a result of the change to the provisional amounts, calculated as if the accounting had been completed at the acquisition date. The new guidance further requires specific disclosure pertaining to the measurement period adjustments. The accounting standard will be effective for reporting periods beginning after December 15, 2015 and is not expected to have a significant impact on the Company's consolidated financial position, results of operations and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Classification of Deferred Taxes</w:t>
      </w:r>
    </w:p>
    <w:p>
      <w:pPr>
        <w:spacing w:after="0" w:line="90"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In November 2015, the FASB issued an accounting standards update that requires that all deferred tax assets and liabilities, along with any related valuation allowance, be classified as noncurrent on the balance sheet. As a result, each jurisdiction will now only have one net noncurrent deferred tax asset or liability. The new guidance does not change the existing requirement that only permits offsetting within a jurisdiction. The accounting standard will be effective for reporting periods beginning after December 15, 2016 and is not expected to have an impact on the Company's consolidated financial position, results of operations and cash flows. Early adoption is permitted for all entities as of the beginning of an interim or annual reporting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and Measurement of Financial Assets and Financial Liabilities</w:t>
      </w:r>
    </w:p>
    <w:p>
      <w:pPr>
        <w:spacing w:after="0" w:line="90"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color w:val="auto"/>
        </w:rPr>
        <w:t>In January 2016, the FASB issued an accounting standards update making certain changes principally to the current guidance for equity investments, financial liabilities under the fair value option and the presentation and disclosure requirements for financial instruments. Among other things, the guidance</w:t>
      </w:r>
    </w:p>
    <w:p>
      <w:pPr>
        <w:ind w:right="40" w:firstLine="8"/>
        <w:spacing w:after="0" w:line="251"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requires equity investments (except those accounted for under the equity method of accounting or those that result in consolidation of the investee) to be measured at fair value, with changes in fair value recognized in net income; (2) provide entities with a policy election to record equity investments without readily determinable fair values at cost, less impairment, and subsequent adjustments for observable price changes (changes in the basis of these equity investments to be reported in net income); (3) requires an entity that has elected the fair value option for financial liabilities to recognize changes in fair value due to instrument-specific credit risk separately in other comprehensive income; (4) clarified current guidance related to the valuation allowance assessment when recognizing deferred tax assets resulting from unrealized losses on available-for-sale debt securities; and (5) requires specific disclosure pertaining to financial assets and financial liabilities in the financial statements. The accounting standard will be effective for reporting periods beginning after December 15, 2017. The Company is in the process of evaluating the impact that the new accounting guidance will have on its consolidated financial position, results of operations and cash flows.</w:t>
      </w:r>
    </w:p>
    <w:p>
      <w:pPr>
        <w:spacing w:after="0" w:line="221" w:lineRule="exact"/>
        <w:rPr>
          <w:sz w:val="20"/>
          <w:szCs w:val="20"/>
          <w:color w:val="auto"/>
        </w:rPr>
      </w:pPr>
    </w:p>
    <w:p>
      <w:pPr>
        <w:ind w:right="9500" w:firstLine="8"/>
        <w:spacing w:after="0" w:line="390" w:lineRule="auto"/>
        <w:tabs>
          <w:tab w:leader="none" w:pos="18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Instruments </w:t>
      </w:r>
      <w:r>
        <w:rPr>
          <w:rFonts w:ascii="Arial" w:cs="Arial" w:eastAsia="Arial" w:hAnsi="Arial"/>
          <w:sz w:val="16"/>
          <w:szCs w:val="16"/>
          <w:b w:val="1"/>
          <w:bCs w:val="1"/>
          <w:i w:val="1"/>
          <w:iCs w:val="1"/>
          <w:color w:val="auto"/>
        </w:rPr>
        <w:t>Cash Equivalents</w:t>
      </w:r>
    </w:p>
    <w:p>
      <w:pPr>
        <w:jc w:val="both"/>
        <w:ind w:right="620" w:firstLine="405"/>
        <w:spacing w:after="0" w:line="264" w:lineRule="auto"/>
        <w:rPr>
          <w:sz w:val="20"/>
          <w:szCs w:val="20"/>
          <w:color w:val="auto"/>
        </w:rPr>
      </w:pPr>
      <w:r>
        <w:rPr>
          <w:rFonts w:ascii="Arial" w:cs="Arial" w:eastAsia="Arial" w:hAnsi="Arial"/>
          <w:sz w:val="18"/>
          <w:szCs w:val="18"/>
          <w:color w:val="auto"/>
        </w:rPr>
        <w:t>The Company had $221,918 and $509,811 of held-to-maturity securities with original maturities of three months or less, primarily consisting of corporate debt securities, classified as cash equivalents at December 31, 2015 and 2014, respectively. The Company's investments in held-to-maturity securities are held at amortized cost, which approximates fair value.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Marketable Securities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Investments in available-for-sale securities at December 31 were classified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Borders>
              <w:bottom w:val="single" w:sz="8" w:color="CCEEFF"/>
            </w:tcBorders>
          </w:tcPr>
          <w:p>
            <w:pPr>
              <w:spacing w:after="0"/>
              <w:rPr>
                <w:sz w:val="16"/>
                <w:szCs w:val="16"/>
                <w:color w:val="auto"/>
              </w:rPr>
            </w:pPr>
          </w:p>
        </w:tc>
        <w:tc>
          <w:tcPr>
            <w:tcW w:w="43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4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520,144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Non-current</w:t>
            </w:r>
          </w:p>
        </w:tc>
        <w:tc>
          <w:tcPr>
            <w:tcW w:w="4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48,081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15,414</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4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568,225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15,414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57</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2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2" w:right="25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cost, gross unrealized gains, gross unrealized losses and fair value of the Company's available-for-sale securities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ind w:left="920"/>
              <w:spacing w:after="0"/>
              <w:rPr>
                <w:sz w:val="20"/>
                <w:szCs w:val="20"/>
                <w:color w:val="auto"/>
              </w:rPr>
            </w:pPr>
            <w:r>
              <w:rPr>
                <w:rFonts w:ascii="Arial" w:cs="Arial" w:eastAsia="Arial" w:hAnsi="Arial"/>
                <w:sz w:val="14"/>
                <w:szCs w:val="14"/>
                <w:b w:val="1"/>
                <w:bCs w:val="1"/>
                <w:color w:val="auto"/>
              </w:rPr>
              <w:t>December 31, 2015</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342"/>
              <w:spacing w:after="0" w:line="153"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1100" w:type="dxa"/>
            <w:vAlign w:val="bottom"/>
          </w:tcPr>
          <w:p>
            <w:pPr>
              <w:jc w:val="center"/>
              <w:ind w:left="342"/>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1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100" w:type="dxa"/>
            <w:vAlign w:val="bottom"/>
          </w:tcPr>
          <w:p>
            <w:pPr>
              <w:jc w:val="center"/>
              <w:ind w:left="382"/>
              <w:spacing w:after="0"/>
              <w:rPr>
                <w:sz w:val="20"/>
                <w:szCs w:val="20"/>
                <w:color w:val="auto"/>
              </w:rPr>
            </w:pPr>
            <w:r>
              <w:rPr>
                <w:rFonts w:ascii="Arial" w:cs="Arial" w:eastAsia="Arial" w:hAnsi="Arial"/>
                <w:sz w:val="14"/>
                <w:szCs w:val="14"/>
                <w:b w:val="1"/>
                <w:bCs w:val="1"/>
                <w:color w:val="auto"/>
                <w:w w:val="92"/>
              </w:rPr>
              <w:t>Gains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 xml:space="preserve">Losses </w:t>
            </w:r>
            <w:r>
              <w:rPr>
                <w:rFonts w:ascii="Arial" w:cs="Arial" w:eastAsia="Arial" w:hAnsi="Arial"/>
                <w:sz w:val="8"/>
                <w:szCs w:val="8"/>
                <w:b w:val="1"/>
                <w:bCs w:val="1"/>
                <w:color w:val="auto"/>
                <w:w w:val="87"/>
              </w:rPr>
              <w:t>(1)</w:t>
            </w: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Debt securities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Corporate bonds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336,665</w:t>
            </w:r>
          </w:p>
        </w:tc>
        <w:tc>
          <w:tcPr>
            <w:tcW w:w="100" w:type="dxa"/>
            <w:vAlign w:val="bottom"/>
          </w:tcPr>
          <w:p>
            <w:pPr>
              <w:spacing w:after="0"/>
              <w:rPr>
                <w:sz w:val="21"/>
                <w:szCs w:val="21"/>
                <w:color w:val="auto"/>
              </w:rPr>
            </w:pPr>
          </w:p>
        </w:tc>
        <w:tc>
          <w:tcPr>
            <w:tcW w:w="1100" w:type="dxa"/>
            <w:vAlign w:val="bottom"/>
          </w:tcPr>
          <w:p>
            <w:pPr>
              <w:jc w:val="right"/>
              <w:ind w:right="902"/>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335,644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U.S. government debt </w:t>
            </w:r>
            <w:r>
              <w:rPr>
                <w:rFonts w:ascii="Arial" w:cs="Arial" w:eastAsia="Arial" w:hAnsi="Arial"/>
                <w:sz w:val="25"/>
                <w:szCs w:val="25"/>
                <w:color w:val="auto"/>
                <w:vertAlign w:val="superscript"/>
              </w:rPr>
              <w:t>(2)</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135,226</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134,854</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Asset-backed securities</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49,759</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49,646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 securities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54,371</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466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48,081</w:t>
            </w:r>
          </w:p>
        </w:tc>
        <w:tc>
          <w:tcPr>
            <w:tcW w:w="0" w:type="dxa"/>
            <w:vAlign w:val="bottom"/>
          </w:tcPr>
          <w:p>
            <w:pPr>
              <w:spacing w:after="0"/>
              <w:rPr>
                <w:sz w:val="1"/>
                <w:szCs w:val="1"/>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Total available-for-sale securities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576,021</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525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568,225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ind w:left="920"/>
              <w:spacing w:after="0"/>
              <w:rPr>
                <w:sz w:val="20"/>
                <w:szCs w:val="20"/>
                <w:color w:val="auto"/>
              </w:rPr>
            </w:pPr>
            <w:r>
              <w:rPr>
                <w:rFonts w:ascii="Arial" w:cs="Arial" w:eastAsia="Arial" w:hAnsi="Arial"/>
                <w:sz w:val="14"/>
                <w:szCs w:val="14"/>
                <w:b w:val="1"/>
                <w:bCs w:val="1"/>
                <w:color w:val="auto"/>
              </w:rPr>
              <w:t>December 31, 2014</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342"/>
              <w:spacing w:after="0" w:line="153"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2"/>
                <w:szCs w:val="12"/>
                <w:color w:val="auto"/>
              </w:rPr>
            </w:pPr>
          </w:p>
        </w:tc>
        <w:tc>
          <w:tcPr>
            <w:tcW w:w="1100" w:type="dxa"/>
            <w:vAlign w:val="bottom"/>
          </w:tcPr>
          <w:p>
            <w:pPr>
              <w:jc w:val="center"/>
              <w:ind w:left="342"/>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1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center"/>
              <w:ind w:left="382"/>
              <w:spacing w:after="0"/>
              <w:rPr>
                <w:sz w:val="20"/>
                <w:szCs w:val="20"/>
                <w:color w:val="auto"/>
              </w:rPr>
            </w:pPr>
            <w:r>
              <w:rPr>
                <w:rFonts w:ascii="Arial" w:cs="Arial" w:eastAsia="Arial" w:hAnsi="Arial"/>
                <w:sz w:val="14"/>
                <w:szCs w:val="14"/>
                <w:b w:val="1"/>
                <w:bCs w:val="1"/>
                <w:color w:val="auto"/>
                <w:w w:val="92"/>
              </w:rPr>
              <w:t>Gains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 securities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15,050</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15,414</w:t>
            </w:r>
          </w:p>
        </w:tc>
        <w:tc>
          <w:tcPr>
            <w:tcW w:w="0" w:type="dxa"/>
            <w:vAlign w:val="bottom"/>
          </w:tcPr>
          <w:p>
            <w:pPr>
              <w:spacing w:after="0"/>
              <w:rPr>
                <w:sz w:val="1"/>
                <w:szCs w:val="1"/>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Total available-for-sale securities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15,050</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364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15,414</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unrealized loss positions were held at a loss for less than 12 months.</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 Treasury obligations, U.S. government agency obligations and U.S government agency mortgage-backed securities.</w:t>
      </w:r>
    </w:p>
    <w:p>
      <w:pPr>
        <w:spacing w:after="0" w:line="17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As of December 31, 2015 and December 31, 2014, net unrealized (losses) gains on the Company's available-for-sale securities of $(4,995) and $233, respectively, net of income tax (benefit) expense of $(2,801) and $131, respectively, were recorded in accumulated other comprehensive income. See Note 14 for the fair value hierarchy of the Company's available-for-sale securities.</w:t>
      </w:r>
    </w:p>
    <w:p>
      <w:pPr>
        <w:spacing w:after="0" w:line="12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of December 31, 2015, the corporate bond securities held by the Company had maturities ranging between three months to five years; the U.S. government debt securities held by the Company, excluding U.S. government agency mortgage-backed securities, had maturities ranging between one month to three years; the U.S. government agency mortgage-backed securities held by the Company had maturities of approximately five years; and the asset-backed securities held by the Company had maturities ranging between one to six years.</w:t>
      </w:r>
    </w:p>
    <w:p>
      <w:pPr>
        <w:spacing w:after="0" w:line="133"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proceeds from sales and maturities of available-for-sale securities included in the consolidated statements of cash flows and the gross realized gains and losses included in the consolidated statements of operations are reflected in the table below. The cost of securities sold was determined using the specific identification method.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540" w:type="dxa"/>
            <w:vAlign w:val="bottom"/>
            <w:tcBorders>
              <w:bottom w:val="single" w:sz="8" w:color="CCEEFF"/>
            </w:tcBorders>
          </w:tcPr>
          <w:p>
            <w:pPr>
              <w:spacing w:after="0"/>
              <w:rPr>
                <w:sz w:val="22"/>
                <w:szCs w:val="22"/>
                <w:color w:val="auto"/>
              </w:rPr>
            </w:pPr>
          </w:p>
        </w:tc>
        <w:tc>
          <w:tcPr>
            <w:tcW w:w="22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and maturities of securities</w:t>
            </w:r>
          </w:p>
        </w:tc>
        <w:tc>
          <w:tcPr>
            <w:tcW w:w="3080" w:type="dxa"/>
            <w:vAlign w:val="bottom"/>
            <w:tcBorders>
              <w:bottom w:val="single" w:sz="8" w:color="CCEEFF"/>
            </w:tcBorders>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48,900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342,045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7,770</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Gross realized gains</w:t>
            </w:r>
          </w:p>
        </w:tc>
        <w:tc>
          <w:tcPr>
            <w:tcW w:w="2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3,830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20</w:t>
            </w:r>
          </w:p>
        </w:tc>
      </w:tr>
      <w:tr>
        <w:trPr>
          <w:trHeight w:val="27"/>
        </w:trPr>
        <w:tc>
          <w:tcPr>
            <w:tcW w:w="45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losses</w:t>
            </w:r>
          </w:p>
        </w:tc>
        <w:tc>
          <w:tcPr>
            <w:tcW w:w="2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459"/>
        </w:trPr>
        <w:tc>
          <w:tcPr>
            <w:tcW w:w="4540" w:type="dxa"/>
            <w:vAlign w:val="bottom"/>
          </w:tcPr>
          <w:p>
            <w:pPr>
              <w:spacing w:after="0"/>
              <w:rPr>
                <w:sz w:val="24"/>
                <w:szCs w:val="24"/>
                <w:color w:val="auto"/>
              </w:rPr>
            </w:pPr>
          </w:p>
        </w:tc>
        <w:tc>
          <w:tcPr>
            <w:tcW w:w="2200" w:type="dxa"/>
            <w:vAlign w:val="bottom"/>
          </w:tcPr>
          <w:p>
            <w:pPr>
              <w:jc w:val="right"/>
              <w:ind w:right="850"/>
              <w:spacing w:after="0"/>
              <w:rPr>
                <w:sz w:val="20"/>
                <w:szCs w:val="20"/>
                <w:color w:val="auto"/>
              </w:rPr>
            </w:pPr>
            <w:r>
              <w:rPr>
                <w:rFonts w:ascii="Arial" w:cs="Arial" w:eastAsia="Arial" w:hAnsi="Arial"/>
                <w:sz w:val="18"/>
                <w:szCs w:val="18"/>
                <w:color w:val="auto"/>
              </w:rPr>
              <w:t>58</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00"/>
          </w:cols>
          <w:pgMar w:left="240" w:top="122" w:right="25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consist of the following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customers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438,538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525,546</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Affiliates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(13,468)</w:t>
            </w:r>
          </w:p>
        </w:tc>
        <w:tc>
          <w:tcPr>
            <w:tcW w:w="0" w:type="dxa"/>
            <w:vAlign w:val="bottom"/>
          </w:tcPr>
          <w:p>
            <w:pPr>
              <w:spacing w:after="0"/>
              <w:rPr>
                <w:sz w:val="1"/>
                <w:szCs w:val="1"/>
                <w:color w:val="auto"/>
              </w:rPr>
            </w:pPr>
          </w:p>
        </w:tc>
      </w:tr>
      <w:tr>
        <w:trPr>
          <w:trHeight w:val="237"/>
        </w:trPr>
        <w:tc>
          <w:tcPr>
            <w:tcW w:w="83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424,443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512,515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and state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60,748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8,919</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23,341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39,232</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508,532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560,666</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b w:val="1"/>
                <w:bCs w:val="1"/>
                <w:color w:val="auto"/>
              </w:rPr>
              <w:t>4. Inventories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20" w:type="dxa"/>
            <w:vAlign w:val="bottom"/>
          </w:tcPr>
          <w:p>
            <w:pPr>
              <w:ind w:left="440"/>
              <w:spacing w:after="0"/>
              <w:rPr>
                <w:sz w:val="20"/>
                <w:szCs w:val="20"/>
                <w:color w:val="auto"/>
              </w:rPr>
            </w:pPr>
            <w:r>
              <w:rPr>
                <w:rFonts w:ascii="Arial" w:cs="Arial" w:eastAsia="Arial" w:hAnsi="Arial"/>
                <w:sz w:val="18"/>
                <w:szCs w:val="18"/>
                <w:color w:val="auto"/>
              </w:rPr>
              <w:t>Inventories consist of the following at December 31:</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253,338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300,909</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Feedstock, additives and chemicals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106,435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158,635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 and supplies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74,287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66,232</w:t>
            </w:r>
          </w:p>
        </w:tc>
        <w:tc>
          <w:tcPr>
            <w:tcW w:w="0" w:type="dxa"/>
            <w:vAlign w:val="bottom"/>
          </w:tcPr>
          <w:p>
            <w:pPr>
              <w:spacing w:after="0"/>
              <w:rPr>
                <w:sz w:val="1"/>
                <w:szCs w:val="1"/>
                <w:color w:val="auto"/>
              </w:rPr>
            </w:pP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434,060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525,776</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b w:val="1"/>
                <w:bCs w:val="1"/>
                <w:color w:val="auto"/>
              </w:rPr>
              <w:t>5. Property, Plant and Equipment</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440"/>
              <w:spacing w:after="0"/>
              <w:rPr>
                <w:sz w:val="20"/>
                <w:szCs w:val="20"/>
                <w:color w:val="auto"/>
              </w:rPr>
            </w:pPr>
            <w:r>
              <w:rPr>
                <w:rFonts w:ascii="Arial" w:cs="Arial" w:eastAsia="Arial" w:hAnsi="Arial"/>
                <w:sz w:val="18"/>
                <w:szCs w:val="18"/>
                <w:color w:val="auto"/>
              </w:rPr>
              <w:t>Property, plant and equipment consist of the following at December 31:</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9"/>
        </w:trPr>
        <w:tc>
          <w:tcPr>
            <w:tcW w:w="83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21,211</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266,214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244,101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3,632,416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3,454,462</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241,829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213,707</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4,173,510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3,933,481</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(1,685,255)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(1,531,331)</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2,488,255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2,402,150</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515,812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355,407</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3,004,067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2,757,557</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Depreciation expense on property, plant and equipment of $209,271, $174,173 and $129,222 is included in cost of sales in the consolidated statements of operations for the years ended December 31, 2015, 2014 and 2013,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2" w:right="25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Assets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assets consist of the following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3"/>
                <w:szCs w:val="13"/>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86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50"/>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380"/>
              <w:spacing w:after="0"/>
              <w:rPr>
                <w:sz w:val="20"/>
                <w:szCs w:val="20"/>
                <w:color w:val="auto"/>
              </w:rPr>
            </w:pPr>
            <w:r>
              <w:rPr>
                <w:rFonts w:ascii="Arial" w:cs="Arial" w:eastAsia="Arial" w:hAnsi="Arial"/>
                <w:sz w:val="18"/>
                <w:szCs w:val="18"/>
                <w:color w:val="auto"/>
              </w:rPr>
              <w:t>Licenses and intellectual</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520"/>
              <w:spacing w:after="0"/>
              <w:rPr>
                <w:sz w:val="20"/>
                <w:szCs w:val="20"/>
                <w:color w:val="auto"/>
              </w:rPr>
            </w:pPr>
            <w:r>
              <w:rPr>
                <w:rFonts w:ascii="Arial" w:cs="Arial" w:eastAsia="Arial" w:hAnsi="Arial"/>
                <w:sz w:val="18"/>
                <w:szCs w:val="18"/>
                <w:color w:val="auto"/>
              </w:rPr>
              <w:t>property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79,699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(38,643)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41,056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82,611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(35,732)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46,879</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Trademarks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42,031</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43"/>
        </w:trPr>
        <w:tc>
          <w:tcPr>
            <w:tcW w:w="298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75,249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52,677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75,249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57,875</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62,016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29,320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21,172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16,501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9,630</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285,369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213,404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279,167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218,431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Available-for-sale investments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48,081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48,081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15,414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15,414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Cost-method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57,147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Turnaround costs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111,078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(74,943)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36,135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107,892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(56,493)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51,399</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9,124</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51,682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30,714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50,571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32,326</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deferred charges and</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282,581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173,384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251,430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165,410</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98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567,950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(181,162)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386,788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530,597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(146,756)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383,841</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Amortization expense on other assets of $38,490, $35,986 and $30,045 is included in the consolidated statements of operations for the years ended December 31, 2015, 2014 and 2013, respectively.</w:t>
      </w:r>
    </w:p>
    <w:p>
      <w:pPr>
        <w:spacing w:after="0" w:line="116"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Scheduled amortization of intangible assets for the next five years is as follows: $15,189, $13,219, $13,195, $11,446 and $9,950 in 2016, 2017, 2018, 2019 and 2020,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Goodwill is tested for impairment at least annually, or when events or changes in circumstances indicate the fair value of a reporting unit with goodwill has been reduced below its carrying value. The Company performed its annual impairment tests for the Olefins and Vinyls segments' goodwill in October 2015 and April 2015, respectively, and the impairment tests indicated that the recorded goodwill was not impaired. There has been no impairment of the Olefins or Vinyls segments' goodwill since the goodwill was initially recorded. The gross carrying amounts of goodwill for the years ended December 31, 2015 and 2014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Olefins Segment</w:t>
            </w: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Vinyls Segment</w:t>
            </w: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29,990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32,026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62,016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Goodwill acquired during the year</w:t>
            </w: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29,990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32,026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62,016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Changes in goodwill during the year</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29,990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32,026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62,016</w:t>
            </w: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Olefins Segment Goodwill</w:t>
      </w:r>
    </w:p>
    <w:p>
      <w:pPr>
        <w:spacing w:after="0" w:line="9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fair value of the Olefins segment, the reporting unit assessed, was calculated using both a discounted cash flow methodology and a market value methodology. The discounted cash flow projections were based on a nine-year forecast, from 2016 to 2024, to reflect the cyclicality of the Company's olefins business. The forecast was based on (1) prices and spreads projected by IHS Chemical, a chemical industry organization offering market and business advisory services for the chemical market, for the same period, and (2) estimates by management, including its strategic and operational plans. Other significant assumptions used in the discounted cash flow projection included sales volumes based on current capacities. The future cash flows were discounted to present value using a discount rate of 8.8%.</w:t>
      </w:r>
    </w:p>
    <w:p>
      <w:pPr>
        <w:sectPr>
          <w:pgSz w:w="11900" w:h="16838" w:orient="portrait"/>
          <w:cols w:equalWidth="0" w:num="1">
            <w:col w:w="11400"/>
          </w:cols>
          <w:pgMar w:left="240" w:top="122" w:right="259" w:bottom="144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00"/>
          </w:cols>
          <w:pgMar w:left="240" w:top="122" w:right="259" w:bottom="1440" w:gutter="0" w:footer="0" w:header="0"/>
          <w:type w:val="continuous"/>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significant assumptions used in determining the fair value of the reporting unit using the market value methodology include the determination of appropriate market comparables and the estimated multiples of EBITDA a willing buyer is likely to pay.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Even if the fair value of the Olefins segment decreased by 10%, the carrying value of the Olefins segment would not exceed its fair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Vinyls Segment Goodwill</w:t>
      </w:r>
    </w:p>
    <w:p>
      <w:pPr>
        <w:spacing w:after="0" w:line="90" w:lineRule="exact"/>
        <w:rPr>
          <w:sz w:val="20"/>
          <w:szCs w:val="20"/>
          <w:color w:val="auto"/>
        </w:rPr>
      </w:pPr>
    </w:p>
    <w:p>
      <w:pPr>
        <w:ind w:right="320" w:firstLine="432"/>
        <w:spacing w:after="0" w:line="255" w:lineRule="auto"/>
        <w:rPr>
          <w:sz w:val="20"/>
          <w:szCs w:val="20"/>
          <w:color w:val="auto"/>
        </w:rPr>
      </w:pPr>
      <w:r>
        <w:rPr>
          <w:rFonts w:ascii="Arial" w:cs="Arial" w:eastAsia="Arial" w:hAnsi="Arial"/>
          <w:sz w:val="18"/>
          <w:szCs w:val="18"/>
          <w:color w:val="auto"/>
        </w:rPr>
        <w:t>The fair value of the pipe and foundation building products business, the reporting unit assessed, was calculated using both a discounted cash flow methodology and a market value methodology. The discounted cash flow projections were based on a nine-year forecast, from 2015 to 2023, to reflect the cyclicality of the North American housing and construction markets as the Company's pipe and foundation building products business is significantly influenced by said markets. The forecast was based on historical results and estimates by management, including its strategic and operational plans, and assumed a gradual increase in financial performance based on a housing market recovery in the United States. The future cash flows were discounted to present value using a discount rate of 11.5%.</w:t>
      </w:r>
    </w:p>
    <w:p>
      <w:pPr>
        <w:spacing w:after="0" w:line="13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significant assumptions used in determining the fair value of the reporting unit using the market value methodology include the determination of appropriate market comparables and the estimated multiples of EBITDA a willing buyer is likely to pay.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Even if the fair value of the reporting unit decreased by 10%, the carrying value of the reporting unit would not exceed its fair value.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Accounts and Notes Payable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and notes payable consist of the following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Borders>
              <w:bottom w:val="single" w:sz="8" w:color="CCEEFF"/>
            </w:tcBorders>
          </w:tcPr>
          <w:p>
            <w:pPr>
              <w:spacing w:after="0"/>
              <w:rPr>
                <w:sz w:val="16"/>
                <w:szCs w:val="16"/>
                <w:color w:val="auto"/>
              </w:rPr>
            </w:pPr>
          </w:p>
        </w:tc>
        <w:tc>
          <w:tcPr>
            <w:tcW w:w="8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229,219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261,062</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Notes payable to banks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6,110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and notes payable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235,329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261,062</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Long-Term Debt</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 w:type="dxa"/>
            <w:vAlign w:val="bottom"/>
          </w:tcPr>
          <w:p>
            <w:pPr>
              <w:spacing w:after="0"/>
              <w:rPr>
                <w:sz w:val="24"/>
                <w:szCs w:val="24"/>
                <w:color w:val="auto"/>
              </w:rPr>
            </w:pPr>
          </w:p>
        </w:tc>
        <w:tc>
          <w:tcPr>
            <w:tcW w:w="8180" w:type="dxa"/>
            <w:vAlign w:val="bottom"/>
          </w:tcPr>
          <w:p>
            <w:pPr>
              <w:ind w:left="300"/>
              <w:spacing w:after="0"/>
              <w:rPr>
                <w:sz w:val="20"/>
                <w:szCs w:val="20"/>
                <w:color w:val="auto"/>
              </w:rPr>
            </w:pPr>
            <w:r>
              <w:rPr>
                <w:rFonts w:ascii="Arial" w:cs="Arial" w:eastAsia="Arial" w:hAnsi="Arial"/>
                <w:sz w:val="18"/>
                <w:szCs w:val="18"/>
                <w:color w:val="auto"/>
              </w:rPr>
              <w:t>Long-term debt consists of the following at December 31:</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40" w:type="dxa"/>
            <w:vAlign w:val="bottom"/>
            <w:tcBorders>
              <w:bottom w:val="single" w:sz="8" w:color="CCEEFF"/>
            </w:tcBorders>
          </w:tcPr>
          <w:p>
            <w:pPr>
              <w:spacing w:after="0"/>
              <w:rPr>
                <w:sz w:val="24"/>
                <w:szCs w:val="24"/>
                <w:color w:val="auto"/>
              </w:rPr>
            </w:pPr>
          </w:p>
        </w:tc>
        <w:tc>
          <w:tcPr>
            <w:tcW w:w="81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3.60% senior notes due 2022</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249,226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249,108</w:t>
            </w:r>
          </w:p>
        </w:tc>
        <w:tc>
          <w:tcPr>
            <w:tcW w:w="0" w:type="dxa"/>
            <w:vAlign w:val="bottom"/>
          </w:tcPr>
          <w:p>
            <w:pPr>
              <w:spacing w:after="0"/>
              <w:rPr>
                <w:sz w:val="1"/>
                <w:szCs w:val="1"/>
                <w:color w:val="auto"/>
              </w:rPr>
            </w:pP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6</w:t>
            </w:r>
          </w:p>
        </w:tc>
        <w:tc>
          <w:tcPr>
            <w:tcW w:w="8180" w:type="dxa"/>
            <w:vAlign w:val="bottom"/>
          </w:tcPr>
          <w:p>
            <w:pPr>
              <w:ind w:left="40"/>
              <w:spacing w:after="0"/>
              <w:rPr>
                <w:sz w:val="20"/>
                <w:szCs w:val="20"/>
                <w:color w:val="auto"/>
              </w:rPr>
            </w:pPr>
            <w:r>
              <w:rPr>
                <w:rFonts w:ascii="Arial" w:cs="Arial" w:eastAsia="Arial" w:hAnsi="Arial"/>
                <w:sz w:val="18"/>
                <w:szCs w:val="18"/>
                <w:color w:val="auto"/>
              </w:rPr>
              <w:t>½% senior notes due 2029</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6</w:t>
            </w:r>
          </w:p>
        </w:tc>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¾% senior notes due 2032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6</w:t>
            </w:r>
          </w:p>
        </w:tc>
        <w:tc>
          <w:tcPr>
            <w:tcW w:w="8180" w:type="dxa"/>
            <w:vAlign w:val="bottom"/>
          </w:tcPr>
          <w:p>
            <w:pPr>
              <w:ind w:left="40"/>
              <w:spacing w:after="0"/>
              <w:rPr>
                <w:sz w:val="20"/>
                <w:szCs w:val="20"/>
                <w:color w:val="auto"/>
              </w:rPr>
            </w:pPr>
            <w:r>
              <w:rPr>
                <w:rFonts w:ascii="Arial" w:cs="Arial" w:eastAsia="Arial" w:hAnsi="Arial"/>
                <w:sz w:val="18"/>
                <w:szCs w:val="18"/>
                <w:color w:val="auto"/>
              </w:rPr>
              <w:t>½% senior notes due 2035 (the "6 ½% GO Zone Senior Notes Due 2035")</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89,000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89,000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6</w:t>
            </w:r>
          </w:p>
        </w:tc>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½% senior notes due 2035 (the "6 ½% IKE Zone Senior Notes Due 2035")</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Loan related to tax-exempt waste disposal revenue bonds due 2027</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10,889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10,889</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764,115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763,997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 has a $400,000 senior secured revolving credit facility. The facility includes a provision permitting the Company to increase the size of the facility, up to four times, in increments of at least $25,000 each (up to a maximum of $200,000) under certain circumstances if the lenders agree to commit to such an increase.</w:t>
      </w:r>
    </w:p>
    <w:p>
      <w:pPr>
        <w:spacing w:after="0" w:line="127" w:lineRule="exact"/>
        <w:rPr>
          <w:sz w:val="20"/>
          <w:szCs w:val="20"/>
          <w:color w:val="auto"/>
        </w:rPr>
      </w:pPr>
    </w:p>
    <w:p>
      <w:pPr>
        <w:jc w:val="both"/>
        <w:ind w:right="20" w:firstLine="432"/>
        <w:spacing w:after="0" w:line="302" w:lineRule="auto"/>
        <w:rPr>
          <w:sz w:val="20"/>
          <w:szCs w:val="20"/>
          <w:color w:val="auto"/>
        </w:rPr>
      </w:pPr>
      <w:r>
        <w:rPr>
          <w:rFonts w:ascii="Arial" w:cs="Arial" w:eastAsia="Arial" w:hAnsi="Arial"/>
          <w:sz w:val="16"/>
          <w:szCs w:val="16"/>
          <w:color w:val="auto"/>
        </w:rPr>
        <w:t>The facility allows the Company to borrow up to (1) 85% of the net amount of eligible accounts receivable, plus (2) the lesser of (a) 70% of the value of the lower of cost or market of eligible inventory, or (b) 85% of the appraised net orderly liquidation value of all eligible inventory, plus (3) 100% of cash held in an account with the agent under the credit facility and subject to a control agreement with the agent, minus (4) such reserves as the agent may establish. The facility includes a $400,000 sub-limit for letters of credit, and any outstanding letters of credit will be deducted from availability under the facility.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At December 31, 2015, the Company had no borrowings outstanding under the revolving credit facility. Any borrowings under the facility will bear interest at either LIBOR plus a spread ranging from 1.25% to 1.75%, provided that so long as the Company is rated investment grade, the margin for LIBOR loans will not exceed 1.50%, or a base rate plus a spread ranging from 0.0% to 0.50%. The revolving credit facility also requires an unused commitment fee of 0.25% per annum. All interest rates under the facility are subject to monthly grid pricing adjustments based on prior month average daily loan availability. The revolving credit facility matures on July 17, 2019. As of December 31, 2015, the Company had outstanding letters of credit totaling $30,098 and borrowing availability of $320,843 under the revolving credit facility.</w:t>
      </w:r>
    </w:p>
    <w:p>
      <w:pPr>
        <w:spacing w:after="0" w:line="13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Company's revolving credit facility generally restricts the Company's ability to make distributions unless, on a pro forma basis after giving effect to the distribution, the borrowing availability under the facility equals or exceeds the greater of (1) 20% of the commitments under the facility and (2) $80,000; or the borrowing availability under the facility equals or exceeds the greater of (1) 15% of the commitments under the facility and (2) $60,000, and the Company's fixed charge coverage ratio is at least 1.0:1. However, the Company may make specified distributions up to an aggregate of $82,700 in 2016, to be increased by 5% in each fiscal year thereafter, on an aggregate basis, for each fiscal year.</w:t>
      </w:r>
    </w:p>
    <w:p>
      <w:pPr>
        <w:spacing w:after="0" w:line="119" w:lineRule="exact"/>
        <w:rPr>
          <w:sz w:val="20"/>
          <w:szCs w:val="20"/>
          <w:color w:val="auto"/>
        </w:rPr>
      </w:pPr>
    </w:p>
    <w:p>
      <w:pPr>
        <w:ind w:right="160" w:firstLine="432"/>
        <w:spacing w:after="0" w:line="285" w:lineRule="auto"/>
        <w:rPr>
          <w:sz w:val="20"/>
          <w:szCs w:val="20"/>
          <w:color w:val="auto"/>
        </w:rPr>
      </w:pPr>
      <w:r>
        <w:rPr>
          <w:rFonts w:ascii="Arial" w:cs="Arial" w:eastAsia="Arial" w:hAnsi="Arial"/>
          <w:sz w:val="16"/>
          <w:szCs w:val="16"/>
          <w:color w:val="auto"/>
        </w:rPr>
        <w:t>In order to make acquisitions or investments, the Company's revolving credit facility provides that (1) the Company must maintain a minimum borrowing availability of at least the greater of $60,000 or 15% of the total bank commitments under its revolving credit facility or (2) the Company must maintain a minimum borrowing availability of at least the greater of $50,000 or 12.5% of the total bank commitments under the Company's revolving credit facility and meet a minimum fixed charge coverage ratio of 1.0:1 under its revolving credit facility. Notwithstanding the foregoing, the Company may make investments in the aggregate up to the greater of $50,000 and 1.25% of tangible assets and acquisitions in the aggregate up to the greater of $100,000 and</w:t>
      </w:r>
    </w:p>
    <w:p>
      <w:pPr>
        <w:spacing w:after="0" w:line="2"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2.5% of tangible assets, if, on a pro forma basis after giving effect to the acquisition or investment, either (X) the borrowing availability under the facility equals or exceeds the greater of (A) 12.5% of the total bank commitments under the facility and (B) $50,000, but is less than the greater of (A) 15% of the total bank commitments and (B) $60,000, or (Y) the Company's fixed charge coverage ratio is at least 1.0:1.</w:t>
      </w:r>
    </w:p>
    <w:p>
      <w:pPr>
        <w:spacing w:after="0" w:line="136"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The revolving credit facility contains other customary covenants and events of default that impose significant operating and financial restrictions on the Company. These restrictions, among other things, provide limitations on the occurrence of additional indebtedness and the Company's ability to create liens, to engage in certain affiliate transactions and to engage in sale-leaseback transactions.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3.60% Senior Notes due 2022</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July 2012, the Company issued $250,000 aggregate principal amount of its 3.60% senior notes due 2022 (the "3.60% Notes Due 2022"). The 3.60%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Notes Due 2022 are unsecured and were issued with an original issue discount of $1,183. There is no sinking fund and no scheduled amortization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3.60% Notes Due 2022 prior to maturity. The Company may optionally redeem the 3.60% Notes Due 2022 at any time and from time to time prior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15, 2022 (three months prior to the maturity date) for 100% of the principal plus accrued interest and a discounted "make whole" payment. On or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April 15, 2022, the Company may optionally redeem the 3.60% Notes Due 2022 for 100% of the principal plus accrued interest. The holders of the 3.60%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2022 may require the Company to repurchase the 3.60% Notes Due 2022 at a price of 101% of their principal amount, plus accrued and unpaid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to the date of repurchase, upon the occurrence of both a "change of control" and, within 60 days of such change of control, a "below investment grade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rating event" (as such terms are defined in the indenture governing the 3.60% Notes Due 2022). All domestic subsidiaries of the Company that guarantee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indebtedness of the Company or of another guarantor of the 3.60% Notes Due 2022 in excess of $5,000 are guarantors of the 3.60% Notes Due 2022.</w:t>
      </w:r>
    </w:p>
    <w:p>
      <w:pPr>
        <w:spacing w:after="0" w:line="180" w:lineRule="exact"/>
        <w:rPr>
          <w:sz w:val="20"/>
          <w:szCs w:val="20"/>
          <w:color w:val="auto"/>
        </w:rPr>
      </w:pPr>
    </w:p>
    <w:p>
      <w:pPr>
        <w:jc w:val="both"/>
        <w:ind w:right="100" w:firstLine="446"/>
        <w:spacing w:after="0" w:line="264" w:lineRule="auto"/>
        <w:rPr>
          <w:sz w:val="20"/>
          <w:szCs w:val="20"/>
          <w:color w:val="auto"/>
        </w:rPr>
      </w:pPr>
      <w:r>
        <w:rPr>
          <w:rFonts w:ascii="Arial" w:cs="Arial" w:eastAsia="Arial" w:hAnsi="Arial"/>
          <w:sz w:val="18"/>
          <w:szCs w:val="18"/>
          <w:color w:val="auto"/>
        </w:rPr>
        <w:t>The indenture governing the 3.60% Notes Due 2022 contains customary events of default and covenants that will restrict the Company's and certain of its subsidiaries' ability to (1) incur certain secured indebtedness, (2) engage in certain sale-leaseback transactions and (3) consolidate, merge or transfer all or substantially all of the Company's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 Zone Bonds</w:t>
      </w:r>
    </w:p>
    <w:p>
      <w:pPr>
        <w:spacing w:after="0" w:line="90"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December 2010, the Louisiana Local Government Environmental Facility and Development Authority (the "Authority"), a political subdivision of the State of Louisiana, completed the offering of $89,000 of 6 ½% tax-exempt revenue bonds due November 1, 2035 under the Gulf Opportunity Zone Act of 2005 (the "GO Zone Act"). The bonds are subject to optional redemption by the Authority upon the direction of the Company at any time prior to November 1, 2020 for 100% of the principal plus accrued interest and a discounted "make whole" payment. On or after November 1, 2020, the bonds are subject to optional redemption by the Authority upon the direction of the Company for 100% of the principal plus accrued interest.</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2" w:right="25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July 2010, the Authority completed the reoffering of $100,000 of 6 ½% tax-exempt revenue bonds due August 1, 2029 under the GO Zone Act. The bonds are subject to optional redemption by the Authority upon the direction of the Company at any time prior to August 1, 2020 for 100% of the principal plus accrued interest and a discounted "make whole" payment. On or after August 1, 2020, the bonds are subject to optional redemption by the Authority upon the direction of the Company for 100% of the principal plus accrued interest.</w:t>
      </w:r>
    </w:p>
    <w:p>
      <w:pPr>
        <w:spacing w:after="0" w:line="13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December 2007, the Authority issued $250,000 of 6 ¾% tax-exempt revenue bonds due November 1, 2032 under the GO Zone Act. The bonds are subject to optional redemption by the Authority upon the direction of the Company at any time prior to November 1, 2017 for 100% of the principal plus accrued interest and a discounted "make whole" payment. On or after November 1, 2017, the bonds are subject to optional redemption by the Authority upon the direction of the Company for 100% of the principal plus accrued interest.</w:t>
      </w:r>
    </w:p>
    <w:p>
      <w:pPr>
        <w:spacing w:after="0" w:line="133"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Each series of the bonds is subject to redemption and the holders may require the bonds to be repurchased upon a change of control or a change in or loss of the current tax status of the bonds. In addition, the bonds are subject to optional redemption by the Authority upon the direction of the Company if certain events have occurred in connection with the operation of the projects for which the bond proceeds may be used, including if the Company has determined that the continued operation of any material portion of the projects would be impracticable, uneconomical or undesirable for any reason.</w:t>
      </w:r>
    </w:p>
    <w:p>
      <w:pPr>
        <w:spacing w:after="0" w:line="10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 connection with each offering of the bonds, the Company entered into a loan agreement with the Authority pursuant to which the Company agreed to pay all of the principal, premium, if any, and interest on the bonds and certain other amounts to the Authority. The net proceeds from the offerings were loaned by the Authority to the Company. The Company used the proceeds to expand, refurbish and maintain certain of its facilities in the Louisiana Parishes of Calcasieu and Ascension. The bonds are unsecured and rank equally in right of payment with other existing and future unsecured senior indebtedness. All domestic restricted subsidiaries that guarantee other debt of the Company or of another guarantor of the 6 ½% senior notes due 2029, the 6 ¾% senior notes due 2032 and the 6 ½% GO Zone Senior Notes Due 2035 (collectively, and including the 6 ½% IKE Zone Senior Notes Due 2035, the "Senior Notes") in excess of $5,000 are guarantors of the bonds. As of December 31, 2015, the Company had drawn all the proceeds from the 6 ½% bonds due 2029, 6 ¾% bonds due 2032 and 6 ½% bonds due 2035.</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IKE Zone Bonds</w:t>
      </w:r>
    </w:p>
    <w:p>
      <w:pPr>
        <w:spacing w:after="0" w:line="9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December 2010, the Authority completed the offering of $65,000 of 6 ½% tax-exempt revenue bonds due November 1, 2035 under Section 704 of the Emergency Economic Stabilization Act of 2008. The bonds are subject to optional redemption by the Authority upon the direction of the Company at any time prior to November 1, 2020 for 100% of the principal plus accrued interest and a discounted "make whole" payment. On or after November 1, 2020, the bonds are subject to optional redemption by the Authority upon the direction of the Company for 100% of the principal plus accrued interest. The bonds are subject to redemption, repurchase by the holders upon a change of control or a change in or loss of the current tax status of the bonds and optional redemption by the Authority under terms substantially similar to the terms for the GO Zone Bonds.</w:t>
      </w:r>
    </w:p>
    <w:p>
      <w:pPr>
        <w:spacing w:after="0" w:line="12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connection with the offering of the bonds, the Company entered into a loan agreement with the Authority pursuant to which the Company agreed to pay all of the principal, premium, if any, and interest on the bonds and certain other amounts to the Authority. The net proceeds from the offering were loaned by the Authority to the Company. The Company used the proceeds to expand, refurbish and maintain certain of its facilities in the Louisiana Parish of Calcasieu. The 6 ½% IKE Zone Senior Notes Due 2035 are unsecured and rank equally in right of payment with other existing and future unsecured senior indebtedness. All domestic restricted subsidiaries that guarantee other debt of the Company or of another guarantor of the Senior Notes in excess of $5,000 are guarantors of the 6 ½% IKE Zone Senior Notes Due 2035. As of December 31, 2015, the Company had drawn all the proceeds from the 6 ½% IKE Zone Senior Notes Due 2035.</w:t>
      </w:r>
    </w:p>
    <w:p>
      <w:pPr>
        <w:spacing w:after="0" w:line="135" w:lineRule="exact"/>
        <w:rPr>
          <w:sz w:val="20"/>
          <w:szCs w:val="20"/>
          <w:color w:val="auto"/>
        </w:rPr>
      </w:pPr>
    </w:p>
    <w:p>
      <w:pPr>
        <w:ind w:right="100" w:firstLine="432"/>
        <w:spacing w:after="0" w:line="253" w:lineRule="auto"/>
        <w:rPr>
          <w:sz w:val="20"/>
          <w:szCs w:val="20"/>
          <w:color w:val="auto"/>
        </w:rPr>
      </w:pPr>
      <w:r>
        <w:rPr>
          <w:rFonts w:ascii="Arial" w:cs="Arial" w:eastAsia="Arial" w:hAnsi="Arial"/>
          <w:sz w:val="18"/>
          <w:szCs w:val="18"/>
          <w:color w:val="auto"/>
        </w:rPr>
        <w:t>The indentures governing the Senior Notes contain customary covenants and events of default. Accordingly, these agreements generally impose significant operating and financial restrictions on the Company. These restrictions, among other things, provide limitations on incurrence of additional indebtedness, the payment of dividends, certain investments and acquisitions and sales of assets. However, the effectiveness of certain of these restrictions is currently suspended because the Senior Notes are currently rated investment grade by at least two nationally recognized credit rating agencies. The most significant of these provisions, if it were currently effective, would restrict the Company from incurring additional debt, except specified permitted debt (including borrowings under its credit facility), when the Company's fixed charge coverage ratio is below 2.0:1. These limitations are subject to a number of important qualifications and exceptions, including, without limitation, an exception for the payment of the Company's regular quarterly dividend of up to $0.10 per share. If the restrictions were currently effective, distributions in excess of $100,000 would not be allowed unless, after giving pro forma effect to the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122" w:right="27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distribution, the Company's fixed charge coverage ratio is at least 2.0:1 and such payment, together with the aggregate amount of all other distributions after January 13, 2006, is less than the sum of 50% of the Company's consolidated net income for the period from October 1, 2003 to the end of the most recent quarter for which financial statements have been filed, plus 100% of net cash proceeds received after October 1, 2003 as a contribution to the Company's common equity capital or from the issuance or sale of certain securities, plus several other adjustments.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Bonds</w:t>
      </w:r>
    </w:p>
    <w:p>
      <w:pPr>
        <w:spacing w:after="0" w:line="9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In December 1997, the Company entered into a loan agreement with a public trust established for public purposes for the benefit of the Parish of Calcasieu, Louisiana. The public trust issued $10,889 principal amount of tax-exempt waste disposal revenue bonds in order to finance the Company's construction of waste disposal facilities for an ethylene plant. The waste disposal revenue bonds expire in December 2027 and are subject to redemption and mandatory tender for purchase prior to maturity under certain conditions. Interest on the waste disposal revenue bonds accrues at a rate determined by a remarketing agent and is payable quarterly. The interest rate on the waste disposal revenue bonds at December 31, 2015 and 2014 was 0.07% and 0.05%, respectively.</w:t>
      </w:r>
    </w:p>
    <w:p>
      <w:pPr>
        <w:spacing w:after="0" w:line="139"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As of December 31, 2015, the Company was in compliance with all of the covenants with respect to the 3.60% Notes Due 2022, the Senior Notes, the waste disposal revenue bonds and its revolving credit facility.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interest rate on all long-term debt was 5.5% at December 31, 2015 and 2014.</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2015, the Company had no maturities of long-term debt until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9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Company's Board of Directors has declared regular quarterly dividends to holders of its common stock aggregating $91,551, $77,656 and $55,236 for the years ended December 31, 2015, 2014 and 2013,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90"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Each share of common stock entitles the holder to one vote on all matters on which holders are permitted to vote, including the election of directors. There are no cumulative voting rights. Accordingly, holders of a majority of the total votes entitled to vote in an election of directors will be able to elect all of the directors standing for election. Subject to preferences that may be applicable to any outstanding preferred stock, the holders of the common stock will share equally on a per share basis any dividends when, as and if declared by the Board of Directors out of funds legally available for that purpose. If the Company is liquidated, dissolved or wound up, the holders of the Company's common stock will be entitled to a ratable share of any distribution to stockholders, after satisfaction of all the Company's liabilities and of the prior rights of any outstanding class of the Company's preferred stock. The Company's common stock has no preemptive or conversion rights or other subscription rights. There are no redemption or sinking fund provisions applicable to the Company's common stock.</w:t>
      </w:r>
    </w:p>
    <w:p>
      <w:pPr>
        <w:spacing w:after="0" w:line="138"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On February 14, 2014, the Company's Board of Directors authorized a two-for-one split of the Company's common stock. Stockholders of record as of February 28, 2014 were entitled to one additional share for every share outstanding, which was distributed on March 18, 2014. The total number of authorized common stock shares and associated par value were unchanged by this stock split. All share amounts and per share data included in the accompanying consolidated financial statements and related notes for the year ended December 31, 2013 has been restated to reflect the effect of the stock split.</w:t>
      </w:r>
    </w:p>
    <w:p>
      <w:pPr>
        <w:spacing w:after="0" w:line="10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 2014, the stockholders of the Company approved an amendment to the Company's Amended and Restated Certificate of Incorporation to increase the Company's authorized shares of common stock from 150,000,000 shares to 300,000,000 shares, par value $0.01 per share. The Company issued 134,663,244 and 134,679,064 shares of common stock as of December 31, 2015 and 2014,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The Company's charter authorizes the issuance of shares of preferred stock. The Company's Board of Directors has the authority, without shareholder approval, to issue preferred shares from time to time in one or more series, and to fix the number of shares and terms of each such series. The Board may determine the designations and other terms of each series including dividend rates, whether dividends will be cumulative or non-cumulative, redemption rights, liquidation rights, sinking fund provisions, conversion or exchange rights and voting rights.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90"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In August 2011, the Company's Board of Directors authorized a stock repurchase program of the Company's common stock totaling $100,000 (the "2011 Program"). As of March 31, 2015, the Company had repurchased 1,944,161 shares of its common stock for an aggregate purchase price of approximately $100,000 under the 2011 Program, the full amount of the 2011 Program. In November 2014, the Company's Board of Directors approved a new $250,000 share repurchase program (the "2014 Program"). On November 20, 2015, the Company's Board of Directors approved the expansion of the 2014 Program by an additional $150,000. The total number of shares repurchased by the Company under the 2014 Program was 2,682,489 for the year ended December 31, 2015. Any shares repurchased under the 2011 and 2014 Programs are held by the Company as treasury stock and may be used for general corporate purposes, including for the 2013 Omnibus Incentive Plan. Beginning in 2014, the Company began delivering treasury shares to employees and nonemployee directors for options exercised and for the settlement of restricted stock units. The cost of treasury shares delivered was determined using the specific identification method.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accumulated other comprehensive income (loss) by component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Benefits</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Cumulative</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Net Unrealized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Holding Gains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Liability,</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on Investments,</w:t>
            </w: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Net of Tax</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Exchange</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Net of Tax</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2013</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29"/>
        </w:trPr>
        <w:tc>
          <w:tcPr>
            <w:tcW w:w="5160" w:type="dxa"/>
            <w:vAlign w:val="bottom"/>
          </w:tcPr>
          <w:p>
            <w:pPr>
              <w:ind w:left="380"/>
              <w:spacing w:after="0"/>
              <w:rPr>
                <w:sz w:val="20"/>
                <w:szCs w:val="20"/>
                <w:color w:val="auto"/>
              </w:rPr>
            </w:pPr>
            <w:r>
              <w:rPr>
                <w:rFonts w:ascii="Arial" w:cs="Arial" w:eastAsia="Arial" w:hAnsi="Arial"/>
                <w:sz w:val="18"/>
                <w:szCs w:val="18"/>
                <w:color w:val="auto"/>
              </w:rPr>
              <w:t>Other comprehensive (loss) income before</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520"/>
              <w:spacing w:after="0"/>
              <w:rPr>
                <w:sz w:val="20"/>
                <w:szCs w:val="20"/>
                <w:color w:val="auto"/>
              </w:rPr>
            </w:pPr>
            <w:r>
              <w:rPr>
                <w:rFonts w:ascii="Arial" w:cs="Arial" w:eastAsia="Arial" w:hAnsi="Arial"/>
                <w:sz w:val="18"/>
                <w:szCs w:val="18"/>
                <w:color w:val="auto"/>
              </w:rPr>
              <w:t>reclassifications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(60,128)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(76,608)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Amounts reclassified from accumulated other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other comprehensive (loss) income for the year</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(16,746)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(60,128)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(76,817)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2014</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(79,433)</w:t>
            </w:r>
          </w:p>
        </w:tc>
        <w:tc>
          <w:tcPr>
            <w:tcW w:w="0" w:type="dxa"/>
            <w:vAlign w:val="bottom"/>
          </w:tcPr>
          <w:p>
            <w:pPr>
              <w:spacing w:after="0"/>
              <w:rPr>
                <w:sz w:val="1"/>
                <w:szCs w:val="1"/>
                <w:color w:val="auto"/>
              </w:rPr>
            </w:pPr>
          </w:p>
        </w:tc>
      </w:tr>
      <w:tr>
        <w:trPr>
          <w:trHeight w:val="209"/>
        </w:trPr>
        <w:tc>
          <w:tcPr>
            <w:tcW w:w="5160" w:type="dxa"/>
            <w:vAlign w:val="bottom"/>
          </w:tcPr>
          <w:p>
            <w:pPr>
              <w:ind w:left="380"/>
              <w:spacing w:after="0"/>
              <w:rPr>
                <w:sz w:val="20"/>
                <w:szCs w:val="20"/>
                <w:color w:val="auto"/>
              </w:rPr>
            </w:pPr>
            <w:r>
              <w:rPr>
                <w:rFonts w:ascii="Arial" w:cs="Arial" w:eastAsia="Arial" w:hAnsi="Arial"/>
                <w:sz w:val="18"/>
                <w:szCs w:val="18"/>
                <w:color w:val="auto"/>
              </w:rPr>
              <w:t>Other comprehensive income (loss) before</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520"/>
              <w:spacing w:after="0"/>
              <w:rPr>
                <w:sz w:val="20"/>
                <w:szCs w:val="20"/>
                <w:color w:val="auto"/>
              </w:rPr>
            </w:pPr>
            <w:r>
              <w:rPr>
                <w:rFonts w:ascii="Arial" w:cs="Arial" w:eastAsia="Arial" w:hAnsi="Arial"/>
                <w:sz w:val="18"/>
                <w:szCs w:val="18"/>
                <w:color w:val="auto"/>
              </w:rPr>
              <w:t>reclassifications</w:t>
            </w:r>
          </w:p>
        </w:tc>
        <w:tc>
          <w:tcPr>
            <w:tcW w:w="280" w:type="dxa"/>
            <w:vAlign w:val="bottom"/>
          </w:tcPr>
          <w:p>
            <w:pPr>
              <w:spacing w:after="0"/>
              <w:rPr>
                <w:sz w:val="20"/>
                <w:szCs w:val="20"/>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12,877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(59,466)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(49,384)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Amounts reclassified from accumulated other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other comprehensive income (loss) for the year</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14,835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(59,466)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(49,859)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(129,292)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4"/>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 following table provides the details of the amounts reclassified from accumulated other comprehensive income (loss) into net income in the consolidated statements of operations: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Location of Reclassification</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(Income (Expense)) in</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6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Details about Accumulated Other</w:t>
            </w:r>
          </w:p>
        </w:tc>
        <w:tc>
          <w:tcPr>
            <w:tcW w:w="31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Consolidated Statements</w:t>
            </w:r>
          </w:p>
        </w:tc>
        <w:tc>
          <w:tcPr>
            <w:tcW w:w="360" w:type="dxa"/>
            <w:vAlign w:val="bottom"/>
          </w:tcPr>
          <w:p>
            <w:pPr>
              <w:spacing w:after="0"/>
              <w:rPr>
                <w:sz w:val="10"/>
                <w:szCs w:val="10"/>
                <w:color w:val="auto"/>
              </w:rPr>
            </w:pPr>
          </w:p>
        </w:tc>
        <w:tc>
          <w:tcPr>
            <w:tcW w:w="114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Comprehensive Income (Loss) Components</w:t>
            </w:r>
          </w:p>
        </w:tc>
        <w:tc>
          <w:tcPr>
            <w:tcW w:w="120" w:type="dxa"/>
            <w:vAlign w:val="bottom"/>
            <w:tcBorders>
              <w:bottom w:val="single" w:sz="8" w:color="CCEEFF"/>
            </w:tcBorders>
          </w:tcPr>
          <w:p>
            <w:pPr>
              <w:spacing w:after="0"/>
              <w:rPr>
                <w:sz w:val="16"/>
                <w:szCs w:val="16"/>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 Operations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pension and other</w:t>
            </w:r>
          </w:p>
        </w:tc>
        <w:tc>
          <w:tcPr>
            <w:tcW w:w="2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post-retirement items</w:t>
            </w:r>
          </w:p>
        </w:tc>
        <w:tc>
          <w:tcPr>
            <w:tcW w:w="2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ind w:left="380"/>
              <w:spacing w:after="0"/>
              <w:rPr>
                <w:sz w:val="20"/>
                <w:szCs w:val="20"/>
                <w:color w:val="auto"/>
              </w:rPr>
            </w:pPr>
            <w:r>
              <w:rPr>
                <w:rFonts w:ascii="Arial" w:cs="Arial" w:eastAsia="Arial" w:hAnsi="Arial"/>
                <w:sz w:val="18"/>
                <w:szCs w:val="18"/>
                <w:color w:val="auto"/>
              </w:rPr>
              <w:t>Prior service costs</w:t>
            </w:r>
          </w:p>
        </w:tc>
        <w:tc>
          <w:tcPr>
            <w:tcW w:w="29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2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Settlement benefits</w:t>
            </w:r>
          </w:p>
        </w:tc>
        <w:tc>
          <w:tcPr>
            <w:tcW w:w="29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09"/>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Net unrealized gains on available-for-</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sale investments</w:t>
            </w: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Realized gain (loss) on available-</w:t>
            </w:r>
          </w:p>
        </w:tc>
        <w:tc>
          <w:tcPr>
            <w:tcW w:w="2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for-sale investments</w:t>
            </w: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Total reclassifications for the period</w:t>
            </w:r>
          </w:p>
        </w:tc>
        <w:tc>
          <w:tcPr>
            <w:tcW w:w="2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26" w:lineRule="exact"/>
        <w:rPr>
          <w:sz w:val="20"/>
          <w:szCs w:val="20"/>
          <w:color w:val="auto"/>
        </w:rPr>
      </w:pPr>
    </w:p>
    <w:p>
      <w:pPr>
        <w:ind w:left="420" w:right="220" w:hanging="412"/>
        <w:spacing w:after="0" w:line="277"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accumulated other comprehensive loss components are included in the computation of net periodic benefit cost. For additional information, see Note 11.</w:t>
      </w:r>
    </w:p>
    <w:p>
      <w:pPr>
        <w:spacing w:after="0" w:line="193" w:lineRule="exact"/>
        <w:rPr>
          <w:sz w:val="20"/>
          <w:szCs w:val="20"/>
          <w:color w:val="auto"/>
        </w:rPr>
      </w:pPr>
    </w:p>
    <w:p>
      <w:pPr>
        <w:ind w:right="9360" w:firstLine="8"/>
        <w:spacing w:after="0" w:line="346" w:lineRule="auto"/>
        <w:tabs>
          <w:tab w:leader="none" w:pos="2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Benefits </w:t>
      </w:r>
      <w:r>
        <w:rPr>
          <w:rFonts w:ascii="Arial" w:cs="Arial" w:eastAsia="Arial" w:hAnsi="Arial"/>
          <w:sz w:val="18"/>
          <w:szCs w:val="18"/>
          <w:b w:val="1"/>
          <w:bCs w:val="1"/>
          <w:i w:val="1"/>
          <w:iCs w:val="1"/>
          <w:color w:val="auto"/>
        </w:rPr>
        <w:t xml:space="preserve">Defined Contribution Plans </w:t>
      </w:r>
      <w:r>
        <w:rPr>
          <w:rFonts w:ascii="Arial" w:cs="Arial" w:eastAsia="Arial" w:hAnsi="Arial"/>
          <w:sz w:val="18"/>
          <w:szCs w:val="18"/>
          <w:i w:val="1"/>
          <w:iCs w:val="1"/>
          <w:color w:val="auto"/>
        </w:rPr>
        <w:t>U.S. Plans</w:t>
      </w:r>
    </w:p>
    <w:p>
      <w:pPr>
        <w:ind w:right="220" w:firstLine="432"/>
        <w:spacing w:after="0" w:line="297" w:lineRule="auto"/>
        <w:rPr>
          <w:sz w:val="20"/>
          <w:szCs w:val="20"/>
          <w:color w:val="auto"/>
        </w:rPr>
      </w:pPr>
      <w:r>
        <w:rPr>
          <w:rFonts w:ascii="Arial" w:cs="Arial" w:eastAsia="Arial" w:hAnsi="Arial"/>
          <w:sz w:val="16"/>
          <w:szCs w:val="16"/>
          <w:color w:val="auto"/>
        </w:rPr>
        <w:t>The Company has a defined contribution savings plan covering all U.S. regular full-time and part-time employees whereby eligible employees may elect to contribute up to 100% of their annual compensation, subject to an annual plan limit in line with the annual elective contribution limit as determined by the Internal Revenue Service. The Company matches 100% of an employee's contribution up to the first 4% of such employee's compensation. The Company may, at its discretion, make an additional non-matching contribution in an amount as the Board of Directors may determine. For the years ended December 31, 2015, 2014 and 2013, the Company charged approximately $7,594, $6,856 and $6,022, respectively, to expense for these contributions.</w:t>
      </w:r>
    </w:p>
    <w:p>
      <w:pPr>
        <w:spacing w:after="0" w:line="10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Further, within the defined contribution savings plan, the Company also makes an annual retirement contribution to substantially all employees of one subsidiary who have completed one year of service. The Company's contributions to the plan are determined as a percentage of employees' base and overtime pay. For the years ended December 31, 2015, 2014 and 2013, the Company charged approximately $11,715, $8,309 and $6,227, respectively, to expense for these contributions.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Plans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 has various defined contribution plans in Germany, the United Kingdom, Italy and Belgium covering eligible employees of our European operations. The Company's contributions to the plans are based on applicable laws in each country. Contributions to the Company's non-U.S. defined contribution plans are made by both the employee and the Company. For the years ended December 31, 2015 and 2014, the Company charged approximately $1,912 and $416, respectively, to expense for its contributions to these plans.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Plans</w:t>
      </w:r>
    </w:p>
    <w:p>
      <w:pPr>
        <w:spacing w:after="0" w:line="9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Company has noncontributory defined benefit pension plans that cover certain eligible salaried and wage employees of one subsidiary. However, eligibility for both plans has been frozen. Benefits for salaried employees under these plans are based primarily on years of service and employees' pay near retirement. Benefits for wage employees are based upon years of service and a fixed amount as periodically adjusted. The Company recognizes the years of service prior to the Company's acquisition of the subsidiary's facilities for purposes of determining vesting, eligibility and benefit levels for certain employees of the subsidiary and for determining vesting and eligibility for certain other employees of the subsidiary. The measurement date for these plans is December 31.</w:t>
      </w:r>
    </w:p>
    <w:p>
      <w:pPr>
        <w:spacing w:after="0" w:line="139"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In December 2014, the Company announced a plan amendment to one of the Company's defined benefit pension plans. Under the plan amendment, no additional benefits may be earned by participants after January 31, 2015 and participants' accrued benefit will freeze at the level earned as of January 31, 2015. In addition, the amendment added a lump sum payment option effective February 1, 2015. The Company made a similar plan amendment to its other defined benefit pension plan in 2012. In conjunction with both of the defined benefit pension plans' amendments, the Company amended, in 2014 and 2012, its defined contribution savings plan to allow participants impacted by the amendments to participate in the Company's annual retirement contribution program.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Plans</w:t>
      </w:r>
    </w:p>
    <w:p>
      <w:pPr>
        <w:spacing w:after="0" w:line="9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 has defined benefit pension plans covering current and former employees associated with our European operations. These pension plans are closed to new participants and are for employees in Germany who commenced employment before July 1, 2007. Benefits for employees for these plans are based primarily on employees' pay near retirement. The non-U.S. plans are unfunded as no contributions have been made to the plans and therefore, have no plan assets. The measurement date for these plans is December 31.</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Details of the changes in benefit obligations, plan assets and funded status of the Company's pension plans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2015</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2014</w:t>
            </w:r>
          </w:p>
        </w:tc>
        <w:tc>
          <w:tcPr>
            <w:tcW w:w="128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Non-U.S. Plans</w:t>
            </w:r>
          </w:p>
        </w:tc>
        <w:tc>
          <w:tcPr>
            <w:tcW w:w="2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22"/>
                <w:szCs w:val="22"/>
                <w:color w:val="auto"/>
              </w:rPr>
            </w:pPr>
          </w:p>
        </w:tc>
        <w:tc>
          <w:tcPr>
            <w:tcW w:w="1280" w:type="dxa"/>
            <w:vAlign w:val="bottom"/>
          </w:tcPr>
          <w:p>
            <w:pPr>
              <w:jc w:val="right"/>
              <w:ind w:right="191"/>
              <w:spacing w:after="0"/>
              <w:rPr>
                <w:sz w:val="20"/>
                <w:szCs w:val="20"/>
                <w:color w:val="auto"/>
              </w:rPr>
            </w:pPr>
            <w:r>
              <w:rPr>
                <w:rFonts w:ascii="Arial" w:cs="Arial" w:eastAsia="Arial" w:hAnsi="Arial"/>
                <w:sz w:val="14"/>
                <w:szCs w:val="14"/>
                <w:b w:val="1"/>
                <w:bCs w:val="1"/>
                <w:color w:val="auto"/>
                <w:w w:val="97"/>
              </w:rPr>
              <w:t>Non-U.S. Plans</w:t>
            </w: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Benefit obligation, beginning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67,010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122,701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57,946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assumed with acquisition</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117,970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602</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Actuarial (gain) loss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9,165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15,425</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Foreign exchange effects</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(11,764)</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62,192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94,821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67,010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122,701</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84"/>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Fair value of plan assets, beginning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53,415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49,236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Employer contribution</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898</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297"/>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of plan assets, end of year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50,763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53,415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51"/>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 status, 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(122,701)</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46"/>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77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00"/>
          </w:cols>
          <w:pgMar w:left="240" w:top="122" w:right="25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2015</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2014</w:t>
            </w:r>
          </w:p>
        </w:tc>
        <w:tc>
          <w:tcPr>
            <w:tcW w:w="128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Non-U.S. Plans</w:t>
            </w:r>
          </w:p>
        </w:tc>
        <w:tc>
          <w:tcPr>
            <w:tcW w:w="2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22"/>
                <w:szCs w:val="22"/>
                <w:color w:val="auto"/>
              </w:rPr>
            </w:pPr>
          </w:p>
        </w:tc>
        <w:tc>
          <w:tcPr>
            <w:tcW w:w="1280" w:type="dxa"/>
            <w:vAlign w:val="bottom"/>
          </w:tcPr>
          <w:p>
            <w:pPr>
              <w:jc w:val="right"/>
              <w:ind w:right="195"/>
              <w:spacing w:after="0"/>
              <w:rPr>
                <w:sz w:val="20"/>
                <w:szCs w:val="20"/>
                <w:color w:val="auto"/>
              </w:rPr>
            </w:pPr>
            <w:r>
              <w:rPr>
                <w:rFonts w:ascii="Arial" w:cs="Arial" w:eastAsia="Arial" w:hAnsi="Arial"/>
                <w:sz w:val="14"/>
                <w:szCs w:val="14"/>
                <w:b w:val="1"/>
                <w:bCs w:val="1"/>
                <w:color w:val="auto"/>
                <w:w w:val="97"/>
              </w:rPr>
              <w:t>Non-U.S. Plans</w:t>
            </w:r>
          </w:p>
        </w:tc>
      </w:tr>
      <w:tr>
        <w:trPr>
          <w:trHeight w:val="211"/>
        </w:trPr>
        <w:tc>
          <w:tcPr>
            <w:tcW w:w="5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in the consolidated</w:t>
            </w: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41"/>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balance sheet at December 31</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(11,429)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(94,821)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(13,595)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(122,701)</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amount recognized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(122,701)</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86"/>
        </w:trPr>
        <w:tc>
          <w:tcPr>
            <w:tcW w:w="5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2015</w:t>
            </w: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2014</w:t>
            </w:r>
          </w:p>
        </w:tc>
        <w:tc>
          <w:tcPr>
            <w:tcW w:w="1280" w:type="dxa"/>
            <w:vAlign w:val="bottom"/>
            <w:tcBorders>
              <w:bottom w:val="single" w:sz="8" w:color="auto"/>
            </w:tcBorders>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Non-U.S. Plans</w:t>
            </w:r>
          </w:p>
        </w:tc>
        <w:tc>
          <w:tcPr>
            <w:tcW w:w="2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22"/>
                <w:szCs w:val="22"/>
                <w:color w:val="auto"/>
              </w:rPr>
            </w:pPr>
          </w:p>
        </w:tc>
        <w:tc>
          <w:tcPr>
            <w:tcW w:w="1280" w:type="dxa"/>
            <w:vAlign w:val="bottom"/>
          </w:tcPr>
          <w:p>
            <w:pPr>
              <w:jc w:val="right"/>
              <w:ind w:right="195"/>
              <w:spacing w:after="0"/>
              <w:rPr>
                <w:sz w:val="20"/>
                <w:szCs w:val="20"/>
                <w:color w:val="auto"/>
              </w:rPr>
            </w:pPr>
            <w:r>
              <w:rPr>
                <w:rFonts w:ascii="Arial" w:cs="Arial" w:eastAsia="Arial" w:hAnsi="Arial"/>
                <w:sz w:val="14"/>
                <w:szCs w:val="14"/>
                <w:b w:val="1"/>
                <w:bCs w:val="1"/>
                <w:color w:val="auto"/>
                <w:w w:val="97"/>
              </w:rPr>
              <w:t>Non-U.S. Plans</w:t>
            </w:r>
          </w:p>
        </w:tc>
      </w:tr>
      <w:tr>
        <w:trPr>
          <w:trHeight w:val="211"/>
        </w:trPr>
        <w:tc>
          <w:tcPr>
            <w:tcW w:w="5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in accumulated other</w:t>
            </w: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41"/>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loss (gain)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14,755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(4,919)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15,482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15,425</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effects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r>
      <w:tr>
        <w:trPr>
          <w:trHeight w:val="264"/>
        </w:trPr>
        <w:tc>
          <w:tcPr>
            <w:tcW w:w="514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Total before tax </w:t>
            </w:r>
            <w:r>
              <w:rPr>
                <w:rFonts w:ascii="Arial" w:cs="Arial" w:eastAsia="Arial" w:hAnsi="Arial"/>
                <w:sz w:val="25"/>
                <w:szCs w:val="25"/>
                <w:color w:val="auto"/>
                <w:vertAlign w:val="superscript"/>
              </w:rPr>
              <w:t>(1)</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14,755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15,482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15,425</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120" w:hanging="412"/>
        <w:spacing w:after="0" w:line="277" w:lineRule="auto"/>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After-tax totals for pension benefits were $6,812 and $20,315 for 2015 and 2014, respectively, and are reflected in stockholders' equity as accumulated other comprehensive loss.</w:t>
      </w:r>
    </w:p>
    <w:p>
      <w:pPr>
        <w:spacing w:after="0" w:line="116" w:lineRule="exact"/>
        <w:rPr>
          <w:sz w:val="20"/>
          <w:szCs w:val="20"/>
          <w:color w:val="auto"/>
        </w:rPr>
      </w:pPr>
    </w:p>
    <w:p>
      <w:pPr>
        <w:ind w:left="60" w:right="60" w:firstLine="432"/>
        <w:spacing w:after="0" w:line="302" w:lineRule="auto"/>
        <w:rPr>
          <w:sz w:val="20"/>
          <w:szCs w:val="20"/>
          <w:color w:val="auto"/>
        </w:rPr>
      </w:pPr>
      <w:r>
        <w:rPr>
          <w:rFonts w:ascii="Arial" w:cs="Arial" w:eastAsia="Arial" w:hAnsi="Arial"/>
          <w:sz w:val="16"/>
          <w:szCs w:val="16"/>
          <w:color w:val="auto"/>
        </w:rPr>
        <w:t>In the United States, the Pension Protection Act of 2006 (the "Pension Protection Act") established a relationship between a qualified pension plan's funded status and the actual benefits that can be provided. Restrictions on plan benefits and additional funding and notice requirements are imposed when a plan's funded status is less than certain threshold levels. For the 2015 plan year, the funded status for the Company's U.S. pension plans are above 80%, with both plans' funded status above 100%. Accordingly, the Company's U.S. pension plans are exempt from the Pension Protection Act's benefit restrictions.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Pension plans with an accumulated benefit obligation in excess of plan assets at December 31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2015</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2014</w:t>
            </w:r>
          </w:p>
        </w:tc>
        <w:tc>
          <w:tcPr>
            <w:tcW w:w="1280" w:type="dxa"/>
            <w:vAlign w:val="bottom"/>
            <w:tcBorders>
              <w:bottom w:val="single" w:sz="8" w:color="auto"/>
            </w:tcBorders>
          </w:tcPr>
          <w:p>
            <w:pPr>
              <w:spacing w:after="0"/>
              <w:rPr>
                <w:sz w:val="16"/>
                <w:szCs w:val="16"/>
                <w:color w:val="auto"/>
              </w:rPr>
            </w:pPr>
          </w:p>
        </w:tc>
      </w:tr>
      <w:tr>
        <w:trPr>
          <w:trHeight w:val="211"/>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Information for pension plans with an accumulated</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5"/>
        </w:trPr>
        <w:tc>
          <w:tcPr>
            <w:tcW w:w="5140" w:type="dxa"/>
            <w:vAlign w:val="bottom"/>
          </w:tcPr>
          <w:p>
            <w:pPr>
              <w:ind w:left="180"/>
              <w:spacing w:after="0"/>
              <w:rPr>
                <w:sz w:val="20"/>
                <w:szCs w:val="20"/>
                <w:color w:val="auto"/>
              </w:rPr>
            </w:pPr>
            <w:r>
              <w:rPr>
                <w:rFonts w:ascii="Arial" w:cs="Arial" w:eastAsia="Arial" w:hAnsi="Arial"/>
                <w:sz w:val="18"/>
                <w:szCs w:val="18"/>
                <w:b w:val="1"/>
                <w:bCs w:val="1"/>
                <w:color w:val="auto"/>
              </w:rPr>
              <w:t>benefit obligation in excess of plan assets</w:t>
            </w:r>
          </w:p>
        </w:tc>
        <w:tc>
          <w:tcPr>
            <w:tcW w:w="28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Non-U.S. Plans</w:t>
            </w:r>
          </w:p>
        </w:tc>
        <w:tc>
          <w:tcPr>
            <w:tcW w:w="2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22"/>
                <w:szCs w:val="22"/>
                <w:color w:val="auto"/>
              </w:rPr>
            </w:pPr>
          </w:p>
        </w:tc>
        <w:tc>
          <w:tcPr>
            <w:tcW w:w="1280" w:type="dxa"/>
            <w:vAlign w:val="bottom"/>
          </w:tcPr>
          <w:p>
            <w:pPr>
              <w:jc w:val="right"/>
              <w:ind w:right="194"/>
              <w:spacing w:after="0"/>
              <w:rPr>
                <w:sz w:val="20"/>
                <w:szCs w:val="20"/>
                <w:color w:val="auto"/>
              </w:rPr>
            </w:pPr>
            <w:r>
              <w:rPr>
                <w:rFonts w:ascii="Arial" w:cs="Arial" w:eastAsia="Arial" w:hAnsi="Arial"/>
                <w:sz w:val="14"/>
                <w:szCs w:val="14"/>
                <w:b w:val="1"/>
                <w:bCs w:val="1"/>
                <w:color w:val="auto"/>
                <w:w w:val="97"/>
              </w:rPr>
              <w:t>Non-U.S. Plans</w:t>
            </w: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(122,701)</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(62,192)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(93,231)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(67,010)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(119,258)</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50,763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53,415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459"/>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776"/>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00"/>
          </w:cols>
          <w:pgMar w:left="240" w:top="122" w:right="25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following table provides the components of net periodic benefit costs, other changes in plan assets and benefit obligation recognized in other comprehensive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2015</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2014</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2013</w:t>
            </w:r>
          </w:p>
        </w:tc>
      </w:tr>
      <w:tr>
        <w:trPr>
          <w:trHeight w:val="152"/>
        </w:trPr>
        <w:tc>
          <w:tcPr>
            <w:tcW w:w="5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U.S.</w:t>
            </w:r>
          </w:p>
        </w:tc>
        <w:tc>
          <w:tcPr>
            <w:tcW w:w="200" w:type="dxa"/>
            <w:vAlign w:val="bottom"/>
          </w:tcPr>
          <w:p>
            <w:pPr>
              <w:spacing w:after="0"/>
              <w:rPr>
                <w:sz w:val="13"/>
                <w:szCs w:val="13"/>
                <w:color w:val="auto"/>
              </w:rPr>
            </w:pPr>
          </w:p>
        </w:tc>
        <w:tc>
          <w:tcPr>
            <w:tcW w:w="10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Non-U.S.</w:t>
            </w:r>
          </w:p>
        </w:tc>
        <w:tc>
          <w:tcPr>
            <w:tcW w:w="260" w:type="dxa"/>
            <w:vAlign w:val="bottom"/>
          </w:tcPr>
          <w:p>
            <w:pPr>
              <w:spacing w:after="0"/>
              <w:rPr>
                <w:sz w:val="13"/>
                <w:szCs w:val="13"/>
                <w:color w:val="auto"/>
              </w:rPr>
            </w:pPr>
          </w:p>
        </w:tc>
        <w:tc>
          <w:tcPr>
            <w:tcW w:w="9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87"/>
              </w:rPr>
              <w:t>U.S.</w:t>
            </w:r>
          </w:p>
        </w:tc>
        <w:tc>
          <w:tcPr>
            <w:tcW w:w="200" w:type="dxa"/>
            <w:vAlign w:val="bottom"/>
          </w:tcPr>
          <w:p>
            <w:pPr>
              <w:spacing w:after="0"/>
              <w:rPr>
                <w:sz w:val="13"/>
                <w:szCs w:val="13"/>
                <w:color w:val="auto"/>
              </w:rPr>
            </w:pPr>
          </w:p>
        </w:tc>
        <w:tc>
          <w:tcPr>
            <w:tcW w:w="10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Non-U.S.</w:t>
            </w:r>
          </w:p>
        </w:tc>
        <w:tc>
          <w:tcPr>
            <w:tcW w:w="260" w:type="dxa"/>
            <w:vAlign w:val="bottom"/>
          </w:tcPr>
          <w:p>
            <w:pPr>
              <w:spacing w:after="0"/>
              <w:rPr>
                <w:sz w:val="13"/>
                <w:szCs w:val="13"/>
                <w:color w:val="auto"/>
              </w:rPr>
            </w:pPr>
          </w:p>
        </w:tc>
        <w:tc>
          <w:tcPr>
            <w:tcW w:w="880" w:type="dxa"/>
            <w:vAlign w:val="bottom"/>
          </w:tcPr>
          <w:p>
            <w:pPr>
              <w:jc w:val="center"/>
              <w:ind w:right="174"/>
              <w:spacing w:after="0" w:line="153" w:lineRule="exact"/>
              <w:rPr>
                <w:sz w:val="20"/>
                <w:szCs w:val="20"/>
                <w:color w:val="auto"/>
              </w:rPr>
            </w:pPr>
            <w:r>
              <w:rPr>
                <w:rFonts w:ascii="Arial" w:cs="Arial" w:eastAsia="Arial" w:hAnsi="Arial"/>
                <w:sz w:val="14"/>
                <w:szCs w:val="14"/>
                <w:b w:val="1"/>
                <w:bCs w:val="1"/>
                <w:color w:val="auto"/>
                <w:w w:val="95"/>
              </w:rPr>
              <w:t>U.S.</w:t>
            </w:r>
          </w:p>
        </w:tc>
      </w:tr>
      <w:tr>
        <w:trPr>
          <w:trHeight w:val="192"/>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Plans</w:t>
            </w:r>
          </w:p>
        </w:tc>
        <w:tc>
          <w:tcPr>
            <w:tcW w:w="260" w:type="dxa"/>
            <w:vAlign w:val="bottom"/>
          </w:tcPr>
          <w:p>
            <w:pPr>
              <w:spacing w:after="0"/>
              <w:rPr>
                <w:sz w:val="16"/>
                <w:szCs w:val="16"/>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Plans</w:t>
            </w:r>
          </w:p>
        </w:tc>
        <w:tc>
          <w:tcPr>
            <w:tcW w:w="260" w:type="dxa"/>
            <w:vAlign w:val="bottom"/>
          </w:tcPr>
          <w:p>
            <w:pPr>
              <w:spacing w:after="0"/>
              <w:rPr>
                <w:sz w:val="16"/>
                <w:szCs w:val="16"/>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w w:val="90"/>
              </w:rPr>
              <w:t>Plans</w:t>
            </w: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1,661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1,091</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(2,854)</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2,255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Settlement benefits</w:t>
            </w:r>
          </w:p>
        </w:tc>
        <w:tc>
          <w:tcPr>
            <w:tcW w:w="2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2,539</w:t>
            </w:r>
          </w:p>
        </w:tc>
      </w:tr>
      <w:tr>
        <w:trPr>
          <w:trHeight w:val="291"/>
        </w:trPr>
        <w:tc>
          <w:tcPr>
            <w:tcW w:w="52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25"/>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changes in plan assets and benefit obligation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recognized in other comprehensive income (OCI)</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loss (gain) emerging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(17,310)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9,352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15,425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(12,468)</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recognized in OCI</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(18,358)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8,781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15,425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(14,723)</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 and OCI</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8,868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17,393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(12,184)</w:t>
            </w: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estimated prior service cost and net loss for the defined benefit plans that will be amortized from accumulated other comprehensive income into net periodic benefit cost during 2016 are expected to be zero and $1,213, respectively.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weighted-average assumptions used to determine pension plan obligations and net periodic benefit costs for the plans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r>
      <w:tr>
        <w:trPr>
          <w:trHeight w:val="152"/>
        </w:trPr>
        <w:tc>
          <w:tcPr>
            <w:tcW w:w="5080" w:type="dxa"/>
            <w:vAlign w:val="bottom"/>
          </w:tcPr>
          <w:p>
            <w:pPr>
              <w:spacing w:after="0"/>
              <w:rPr>
                <w:sz w:val="13"/>
                <w:szCs w:val="13"/>
                <w:color w:val="auto"/>
              </w:rPr>
            </w:pPr>
          </w:p>
        </w:tc>
        <w:tc>
          <w:tcPr>
            <w:tcW w:w="7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5"/>
              </w:rPr>
              <w:t>U.S.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Non-U.S.</w:t>
            </w:r>
          </w:p>
        </w:tc>
        <w:tc>
          <w:tcPr>
            <w:tcW w:w="148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87"/>
              </w:rPr>
              <w:t>U.S.</w:t>
            </w:r>
          </w:p>
        </w:tc>
        <w:tc>
          <w:tcPr>
            <w:tcW w:w="10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Non-U.S.</w:t>
            </w:r>
          </w:p>
        </w:tc>
        <w:tc>
          <w:tcPr>
            <w:tcW w:w="11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U.S.</w:t>
            </w:r>
          </w:p>
        </w:tc>
      </w:tr>
      <w:tr>
        <w:trPr>
          <w:trHeight w:val="192"/>
        </w:trPr>
        <w:tc>
          <w:tcPr>
            <w:tcW w:w="5080" w:type="dxa"/>
            <w:vAlign w:val="bottom"/>
          </w:tcPr>
          <w:p>
            <w:pPr>
              <w:spacing w:after="0"/>
              <w:rPr>
                <w:sz w:val="16"/>
                <w:szCs w:val="16"/>
                <w:color w:val="auto"/>
              </w:rPr>
            </w:pPr>
          </w:p>
        </w:tc>
        <w:tc>
          <w:tcPr>
            <w:tcW w:w="760" w:type="dxa"/>
            <w:vAlign w:val="bottom"/>
          </w:tcPr>
          <w:p>
            <w:pPr>
              <w:jc w:val="center"/>
              <w:ind w:left="348"/>
              <w:spacing w:after="0"/>
              <w:rPr>
                <w:sz w:val="20"/>
                <w:szCs w:val="20"/>
                <w:color w:val="auto"/>
              </w:rPr>
            </w:pPr>
            <w:r>
              <w:rPr>
                <w:rFonts w:ascii="Arial" w:cs="Arial" w:eastAsia="Arial" w:hAnsi="Arial"/>
                <w:sz w:val="14"/>
                <w:szCs w:val="14"/>
                <w:b w:val="1"/>
                <w:bCs w:val="1"/>
                <w:color w:val="auto"/>
                <w:w w:val="90"/>
              </w:rPr>
              <w:t>Plans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Plans</w:t>
            </w:r>
          </w:p>
        </w:tc>
        <w:tc>
          <w:tcPr>
            <w:tcW w:w="14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Plans</w:t>
            </w: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Plans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Plans</w:t>
            </w:r>
          </w:p>
        </w:tc>
      </w:tr>
      <w:tr>
        <w:trPr>
          <w:trHeight w:val="211"/>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assumptions used to determine</w:t>
            </w: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41"/>
        </w:trPr>
        <w:tc>
          <w:tcPr>
            <w:tcW w:w="5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benefit obligations at December 31</w:t>
            </w: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Discount rate</w:t>
            </w:r>
          </w:p>
        </w:tc>
        <w:tc>
          <w:tcPr>
            <w:tcW w:w="420" w:type="dxa"/>
            <w:vAlign w:val="bottom"/>
          </w:tcPr>
          <w:p>
            <w:pPr>
              <w:jc w:val="right"/>
              <w:spacing w:after="0"/>
              <w:rPr>
                <w:sz w:val="20"/>
                <w:szCs w:val="20"/>
                <w:color w:val="auto"/>
              </w:rPr>
            </w:pPr>
            <w:r>
              <w:rPr>
                <w:rFonts w:ascii="Arial" w:cs="Arial" w:eastAsia="Arial" w:hAnsi="Arial"/>
                <w:sz w:val="18"/>
                <w:szCs w:val="18"/>
                <w:color w:val="auto"/>
                <w:w w:val="87"/>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5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Rate of compensation increase</w:t>
            </w: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assumptions used to</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determine net periodic benefit costs for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1"/>
        </w:trPr>
        <w:tc>
          <w:tcPr>
            <w:tcW w:w="5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years ended December 31</w:t>
            </w: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Discount rate</w:t>
            </w:r>
          </w:p>
        </w:tc>
        <w:tc>
          <w:tcPr>
            <w:tcW w:w="420" w:type="dxa"/>
            <w:vAlign w:val="bottom"/>
          </w:tcPr>
          <w:p>
            <w:pPr>
              <w:jc w:val="right"/>
              <w:spacing w:after="0"/>
              <w:rPr>
                <w:sz w:val="20"/>
                <w:szCs w:val="20"/>
                <w:color w:val="auto"/>
              </w:rPr>
            </w:pPr>
            <w:r>
              <w:rPr>
                <w:rFonts w:ascii="Arial" w:cs="Arial" w:eastAsia="Arial" w:hAnsi="Arial"/>
                <w:sz w:val="18"/>
                <w:szCs w:val="18"/>
                <w:color w:val="auto"/>
                <w:w w:val="87"/>
              </w:rPr>
              <w:t>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5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Rate of compensation increase</w:t>
            </w: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17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Company's return on asset assumption of 7.0% for its U.S. plans is based on historical asset returns, anticipated future performance of the investments and financial markets and input from the Company's third-party independent actuary and the pension fund trustee. There are no plan assets for the Company's non-U.S. plans. The discount rates for the Company's U.S. and non-U.S. plans are determined using a benchmark pension discount curve and applying spot rates from the curve to each year of expected benefit payments to determine the appropriate discount rate for the Company.</w:t>
      </w:r>
    </w:p>
    <w:p>
      <w:pPr>
        <w:spacing w:after="0" w:line="100"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The Company's overall investment strategy for its U.S. plan assets is to achieve a balance between moderate income generation and capital appreciation. The investment strategy includes a mix of approximately 55% of investments for long-term growth and 45% for near-term benefit payments with a diversification of asset types. The Company does not believe that there</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2" w:right="239" w:bottom="1440" w:gutter="0" w:footer="0" w:header="0"/>
          <w:type w:val="continuous"/>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are significant concentrations of risk in the pension plan assets due to its strategy of asset diversification. The pension fund investment policy allows the pension fund trustee a 10% discretionary range in the asset allocation model, with a target of approximately 55% equity securities and 45% fixed income. The Company expects to maintain the 55/45 investment policy for the near future. Equity securities primarily include investments in large-cap and small-cap companies located in the United States and international developed market stocks. Fixed income securities are comprised of investment grade bonds, including U.S. Treasuries and corporate bonds of companies from diversified industries. At December 31, 2015, plan assets did not include direct ownership of the Company's common stock.</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the accounting guidance for fair value measurements, inputs used to measure fair value are classified in one of three levels: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investments in the bank collective trust funds are valued using a market approach based on the net asset value of units held. The fair values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U.S. plan assets at December 31, by asset category,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w w:val="89"/>
              </w:rPr>
              <w:t>2015</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w w:val="89"/>
              </w:rPr>
              <w:t>2014</w:t>
            </w:r>
          </w:p>
        </w:tc>
        <w:tc>
          <w:tcPr>
            <w:tcW w:w="1060" w:type="dxa"/>
            <w:vAlign w:val="bottom"/>
            <w:tcBorders>
              <w:bottom w:val="single" w:sz="8" w:color="auto"/>
            </w:tcBorders>
          </w:tcPr>
          <w:p>
            <w:pPr>
              <w:spacing w:after="0"/>
              <w:rPr>
                <w:sz w:val="16"/>
                <w:szCs w:val="16"/>
                <w:color w:val="auto"/>
              </w:rPr>
            </w:pPr>
          </w:p>
        </w:tc>
      </w:tr>
      <w:tr>
        <w:trPr>
          <w:trHeight w:val="250"/>
        </w:trPr>
        <w:tc>
          <w:tcPr>
            <w:tcW w:w="5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U.S. Plans</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U.S. Plans</w:t>
            </w:r>
          </w:p>
        </w:tc>
        <w:tc>
          <w:tcPr>
            <w:tcW w:w="1060" w:type="dxa"/>
            <w:vAlign w:val="bottom"/>
            <w:tcBorders>
              <w:bottom w:val="single" w:sz="8" w:color="auto"/>
            </w:tcBorders>
          </w:tcPr>
          <w:p>
            <w:pPr>
              <w:spacing w:after="0"/>
              <w:rPr>
                <w:sz w:val="21"/>
                <w:szCs w:val="21"/>
                <w:color w:val="auto"/>
              </w:rPr>
            </w:pPr>
          </w:p>
        </w:tc>
      </w:tr>
      <w:tr>
        <w:trPr>
          <w:trHeight w:val="264"/>
        </w:trPr>
        <w:tc>
          <w:tcPr>
            <w:tcW w:w="5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334"/>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22"/>
                <w:szCs w:val="22"/>
                <w:color w:val="auto"/>
              </w:rPr>
            </w:pPr>
          </w:p>
        </w:tc>
        <w:tc>
          <w:tcPr>
            <w:tcW w:w="1060" w:type="dxa"/>
            <w:vAlign w:val="bottom"/>
          </w:tcPr>
          <w:p>
            <w:pPr>
              <w:jc w:val="right"/>
              <w:ind w:right="334"/>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collective trust funds—Equity securities: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51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Large-cap index funds </w:t>
            </w:r>
            <w:r>
              <w:rPr>
                <w:rFonts w:ascii="Arial" w:cs="Arial" w:eastAsia="Arial" w:hAnsi="Arial"/>
                <w:sz w:val="25"/>
                <w:szCs w:val="25"/>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18,384</w:t>
            </w:r>
          </w:p>
        </w:tc>
        <w:tc>
          <w:tcPr>
            <w:tcW w:w="64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18,384</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19,473</w:t>
            </w:r>
          </w:p>
        </w:tc>
        <w:tc>
          <w:tcPr>
            <w:tcW w:w="62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19,473</w:t>
            </w:r>
          </w:p>
        </w:tc>
      </w:tr>
      <w:tr>
        <w:trPr>
          <w:trHeight w:val="270"/>
        </w:trPr>
        <w:tc>
          <w:tcPr>
            <w:tcW w:w="51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Small-cap index funds </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4,069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3,351</w:t>
            </w:r>
          </w:p>
        </w:tc>
      </w:tr>
      <w:tr>
        <w:trPr>
          <w:trHeight w:val="270"/>
        </w:trPr>
        <w:tc>
          <w:tcPr>
            <w:tcW w:w="51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International index funds </w:t>
            </w:r>
            <w:r>
              <w:rPr>
                <w:rFonts w:ascii="Arial" w:cs="Arial" w:eastAsia="Arial" w:hAnsi="Arial"/>
                <w:sz w:val="25"/>
                <w:szCs w:val="25"/>
                <w:color w:val="auto"/>
                <w:vertAlign w:val="superscript"/>
              </w:rPr>
              <w:t>(3)</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8,181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8,181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8,474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8,474</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collective trust funds—Fixed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70"/>
        </w:trPr>
        <w:tc>
          <w:tcPr>
            <w:tcW w:w="51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Bond index funds </w:t>
            </w:r>
            <w:r>
              <w:rPr>
                <w:rFonts w:ascii="Arial" w:cs="Arial" w:eastAsia="Arial" w:hAnsi="Arial"/>
                <w:sz w:val="25"/>
                <w:szCs w:val="25"/>
                <w:color w:val="auto"/>
                <w:vertAlign w:val="superscript"/>
              </w:rPr>
              <w:t>(4)</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19,624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19,624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21,495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21,495</w:t>
            </w: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 term investment funds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622</w:t>
            </w:r>
          </w:p>
        </w:tc>
      </w:tr>
      <w:tr>
        <w:trPr>
          <w:trHeight w:val="237"/>
        </w:trPr>
        <w:tc>
          <w:tcPr>
            <w:tcW w:w="51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50,763</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50,763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53,415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53,415</w:t>
            </w:r>
          </w:p>
        </w:tc>
      </w:tr>
      <w:tr>
        <w:trPr>
          <w:trHeight w:val="27"/>
        </w:trPr>
        <w:tc>
          <w:tcPr>
            <w:tcW w:w="5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26" w:lineRule="exact"/>
        <w:rPr>
          <w:sz w:val="20"/>
          <w:szCs w:val="20"/>
          <w:color w:val="auto"/>
        </w:rPr>
      </w:pPr>
    </w:p>
    <w:p>
      <w:pPr>
        <w:ind w:left="420" w:right="400" w:hanging="412"/>
        <w:spacing w:after="0" w:line="277" w:lineRule="auto"/>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Substantially all of the assets of these funds are invested in large-cap U.S. companies. The remainder of the assets of these funds is invested in cash reserves.</w:t>
      </w:r>
    </w:p>
    <w:p>
      <w:pPr>
        <w:spacing w:after="0" w:line="35" w:lineRule="exact"/>
        <w:rPr>
          <w:rFonts w:ascii="Arial" w:cs="Arial" w:eastAsia="Arial" w:hAnsi="Arial"/>
          <w:sz w:val="18"/>
          <w:szCs w:val="18"/>
          <w:color w:val="auto"/>
        </w:rPr>
      </w:pPr>
    </w:p>
    <w:p>
      <w:pPr>
        <w:ind w:left="420" w:right="360" w:hanging="412"/>
        <w:spacing w:after="0" w:line="277" w:lineRule="auto"/>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Substantially all of the assets of these funds are invested in small-cap U.S. companies. The remainder of the assets of these funds is invested in cash reserves.</w:t>
      </w:r>
    </w:p>
    <w:p>
      <w:pPr>
        <w:spacing w:after="0" w:line="35" w:lineRule="exact"/>
        <w:rPr>
          <w:rFonts w:ascii="Arial" w:cs="Arial" w:eastAsia="Arial" w:hAnsi="Arial"/>
          <w:sz w:val="18"/>
          <w:szCs w:val="18"/>
          <w:color w:val="auto"/>
        </w:rPr>
      </w:pPr>
    </w:p>
    <w:p>
      <w:pPr>
        <w:ind w:left="420" w:hanging="412"/>
        <w:spacing w:after="0" w:line="277" w:lineRule="auto"/>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Substantially all of the assets of these funds are invested in international companies in developed markets (excluding the United States and Canada). The remainder of the assets of these funds is invested in cash reserves.</w:t>
      </w:r>
    </w:p>
    <w:p>
      <w:pPr>
        <w:spacing w:after="0" w:line="35" w:lineRule="exact"/>
        <w:rPr>
          <w:rFonts w:ascii="Arial" w:cs="Arial" w:eastAsia="Arial" w:hAnsi="Arial"/>
          <w:sz w:val="18"/>
          <w:szCs w:val="18"/>
          <w:color w:val="auto"/>
        </w:rPr>
      </w:pPr>
    </w:p>
    <w:p>
      <w:pPr>
        <w:ind w:left="420" w:hanging="412"/>
        <w:spacing w:after="0"/>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category represents investment grade bonds of U.S. issuers, including U.S. Treasury notes.</w:t>
      </w:r>
    </w:p>
    <w:p>
      <w:pPr>
        <w:spacing w:after="0" w:line="171" w:lineRule="exact"/>
        <w:rPr>
          <w:sz w:val="20"/>
          <w:szCs w:val="20"/>
          <w:color w:val="auto"/>
        </w:rPr>
      </w:pPr>
    </w:p>
    <w:p>
      <w:pPr>
        <w:ind w:right="380" w:firstLine="432"/>
        <w:spacing w:after="0" w:line="342" w:lineRule="auto"/>
        <w:rPr>
          <w:sz w:val="20"/>
          <w:szCs w:val="20"/>
          <w:color w:val="auto"/>
        </w:rPr>
      </w:pPr>
      <w:r>
        <w:rPr>
          <w:rFonts w:ascii="Arial" w:cs="Arial" w:eastAsia="Arial" w:hAnsi="Arial"/>
          <w:sz w:val="16"/>
          <w:szCs w:val="16"/>
          <w:color w:val="auto"/>
        </w:rPr>
        <w:t>The Company's funding policy for its U.S. plans is consistent with the minimum funding requirements of federal law and regulations, and based on preliminary estimates, the Company expects to make contributions of approximately $900 each for both the salaried and wage pension plans in 2016.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Plans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Plans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participates in two multi-employer plans, Pensionskasse der Mitarbeiter der Hoechst-Gruppe VVaG and Pensionskasse der Wacker-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Chemie GmbH VVaG, which provide benefits to certain of the Company's employees in Germany. These multi-employer plans are closed to new participants.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benefit obligations are covered up to a certain salary threshold by contributions made by the Company and employees to the plans.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Contributions to the Company's multi-employer plans are expensed as incurred and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4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3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89"/>
              </w:rPr>
              <w:t>2014</w:t>
            </w:r>
          </w:p>
        </w:tc>
      </w:tr>
      <w:tr>
        <w:trPr>
          <w:trHeight w:val="152"/>
        </w:trPr>
        <w:tc>
          <w:tcPr>
            <w:tcW w:w="8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Non-U.S.</w:t>
            </w:r>
          </w:p>
        </w:tc>
        <w:tc>
          <w:tcPr>
            <w:tcW w:w="280" w:type="dxa"/>
            <w:vAlign w:val="bottom"/>
          </w:tcPr>
          <w:p>
            <w:pPr>
              <w:spacing w:after="0"/>
              <w:rPr>
                <w:sz w:val="13"/>
                <w:szCs w:val="13"/>
                <w:color w:val="auto"/>
              </w:rPr>
            </w:pPr>
          </w:p>
        </w:tc>
        <w:tc>
          <w:tcPr>
            <w:tcW w:w="1200" w:type="dxa"/>
            <w:vAlign w:val="bottom"/>
          </w:tcPr>
          <w:p>
            <w:pPr>
              <w:jc w:val="center"/>
              <w:ind w:right="204"/>
              <w:spacing w:after="0" w:line="153" w:lineRule="exact"/>
              <w:rPr>
                <w:sz w:val="20"/>
                <w:szCs w:val="20"/>
                <w:color w:val="auto"/>
              </w:rPr>
            </w:pPr>
            <w:r>
              <w:rPr>
                <w:rFonts w:ascii="Arial" w:cs="Arial" w:eastAsia="Arial" w:hAnsi="Arial"/>
                <w:sz w:val="14"/>
                <w:szCs w:val="14"/>
                <w:b w:val="1"/>
                <w:bCs w:val="1"/>
                <w:color w:val="auto"/>
                <w:w w:val="94"/>
              </w:rPr>
              <w:t>Non-U.S.</w:t>
            </w:r>
          </w:p>
        </w:tc>
      </w:tr>
      <w:tr>
        <w:trPr>
          <w:trHeight w:val="192"/>
        </w:trPr>
        <w:tc>
          <w:tcPr>
            <w:tcW w:w="8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Plans</w:t>
            </w:r>
          </w:p>
        </w:tc>
        <w:tc>
          <w:tcPr>
            <w:tcW w:w="280" w:type="dxa"/>
            <w:vAlign w:val="bottom"/>
          </w:tcPr>
          <w:p>
            <w:pPr>
              <w:spacing w:after="0"/>
              <w:rPr>
                <w:sz w:val="16"/>
                <w:szCs w:val="16"/>
                <w:color w:val="auto"/>
              </w:rPr>
            </w:pPr>
          </w:p>
        </w:tc>
        <w:tc>
          <w:tcPr>
            <w:tcW w:w="1200" w:type="dxa"/>
            <w:vAlign w:val="bottom"/>
          </w:tcPr>
          <w:p>
            <w:pPr>
              <w:jc w:val="center"/>
              <w:ind w:right="224"/>
              <w:spacing w:after="0"/>
              <w:rPr>
                <w:sz w:val="20"/>
                <w:szCs w:val="20"/>
                <w:color w:val="auto"/>
              </w:rPr>
            </w:pPr>
            <w:r>
              <w:rPr>
                <w:rFonts w:ascii="Arial" w:cs="Arial" w:eastAsia="Arial" w:hAnsi="Arial"/>
                <w:sz w:val="14"/>
                <w:szCs w:val="14"/>
                <w:b w:val="1"/>
                <w:bCs w:val="1"/>
                <w:color w:val="auto"/>
                <w:w w:val="90"/>
              </w:rPr>
              <w:t>Plans</w:t>
            </w:r>
          </w:p>
        </w:tc>
      </w:tr>
      <w:tr>
        <w:trPr>
          <w:trHeight w:val="270"/>
        </w:trPr>
        <w:tc>
          <w:tcPr>
            <w:tcW w:w="83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Contributions to multi-employer plans </w:t>
            </w:r>
            <w:r>
              <w:rPr>
                <w:rFonts w:ascii="Arial" w:cs="Arial" w:eastAsia="Arial" w:hAnsi="Arial"/>
                <w:sz w:val="25"/>
                <w:szCs w:val="25"/>
                <w:color w:val="auto"/>
                <w:vertAlign w:val="superscript"/>
              </w:rPr>
              <w:t>(1)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4,489</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2,295</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40" w:hanging="412"/>
        <w:spacing w:after="0" w:line="279" w:lineRule="auto"/>
        <w:tabs>
          <w:tab w:leader="none" w:pos="4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plan information for both the Pensionskasse der Mitarbeiter der Hoechst-Gruppe VVaG and Pensionskasse der Wacker-Chemie GmbH VVaG plans is publicly available. The plans provide fixed, monthly retirement payments on the basis of the credits earned by the participating employees. To the extent that the plans are underfunded, future contributions to the plans may increase and may be used to fund retirement benefits for employees related to other employers. The Company does not consider either of its multi-employer plans individually significant.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Post-retirement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Plans</w:t>
      </w:r>
    </w:p>
    <w:p>
      <w:pPr>
        <w:spacing w:after="0" w:line="90" w:lineRule="exact"/>
        <w:rPr>
          <w:sz w:val="20"/>
          <w:szCs w:val="20"/>
          <w:color w:val="auto"/>
        </w:rPr>
      </w:pPr>
    </w:p>
    <w:p>
      <w:pPr>
        <w:ind w:right="740" w:firstLine="432"/>
        <w:spacing w:after="0" w:line="264" w:lineRule="auto"/>
        <w:rPr>
          <w:sz w:val="20"/>
          <w:szCs w:val="20"/>
          <w:color w:val="auto"/>
        </w:rPr>
      </w:pPr>
      <w:r>
        <w:rPr>
          <w:rFonts w:ascii="Arial" w:cs="Arial" w:eastAsia="Arial" w:hAnsi="Arial"/>
          <w:sz w:val="18"/>
          <w:szCs w:val="18"/>
          <w:color w:val="auto"/>
        </w:rPr>
        <w:t>The Company provides post-retirement healthcare benefits to the employees of two subsidiaries who meet certain minimum age and service requirements. The Company has the right to modify or terminate some of these benefits. The following table provides a reconciliation of the benefit obligations of the Company's unfunded post-retirement healthcare plans.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8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U.S. Plans</w:t>
            </w:r>
          </w:p>
        </w:tc>
        <w:tc>
          <w:tcPr>
            <w:tcW w:w="280" w:type="dxa"/>
            <w:vAlign w:val="bottom"/>
          </w:tcPr>
          <w:p>
            <w:pPr>
              <w:spacing w:after="0"/>
              <w:rPr>
                <w:sz w:val="21"/>
                <w:szCs w:val="21"/>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93"/>
              </w:rPr>
              <w:t>U.S. Plans</w:t>
            </w:r>
          </w:p>
        </w:tc>
      </w:tr>
      <w:tr>
        <w:trPr>
          <w:trHeight w:val="250"/>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Benefit obligation, beginning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20,177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19,958</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733</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(gain) loss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(1,525)</w:t>
            </w: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17,815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20,177</w:t>
            </w: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8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Fair value of plan assets, beginning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Employer contribution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(1,525)</w:t>
            </w: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 end of year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8320" w:type="dxa"/>
            <w:vAlign w:val="bottom"/>
          </w:tcPr>
          <w:p>
            <w:pPr>
              <w:ind w:left="40"/>
              <w:spacing w:after="0"/>
              <w:rPr>
                <w:sz w:val="20"/>
                <w:szCs w:val="20"/>
                <w:color w:val="auto"/>
              </w:rPr>
            </w:pPr>
            <w:r>
              <w:rPr>
                <w:rFonts w:ascii="Arial" w:cs="Arial" w:eastAsia="Arial" w:hAnsi="Arial"/>
                <w:sz w:val="18"/>
                <w:szCs w:val="18"/>
                <w:color w:val="auto"/>
              </w:rPr>
              <w:t>Funded status, end of year</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(17,815)</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(20,177)</w:t>
            </w: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86"/>
        </w:trPr>
        <w:tc>
          <w:tcPr>
            <w:tcW w:w="8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8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U.S. Plans</w:t>
            </w:r>
          </w:p>
        </w:tc>
        <w:tc>
          <w:tcPr>
            <w:tcW w:w="280" w:type="dxa"/>
            <w:vAlign w:val="bottom"/>
          </w:tcPr>
          <w:p>
            <w:pPr>
              <w:spacing w:after="0"/>
              <w:rPr>
                <w:sz w:val="21"/>
                <w:szCs w:val="21"/>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93"/>
              </w:rPr>
              <w:t>U.S. Plans</w:t>
            </w:r>
          </w:p>
        </w:tc>
      </w:tr>
      <w:tr>
        <w:trPr>
          <w:trHeight w:val="250"/>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in the consolidated balance sheet at December 31</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(1,798)</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(18,379)</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Net amount recognized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(17,815)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(20,177)</w:t>
            </w: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7" w:lineRule="exact"/>
        <w:rPr>
          <w:sz w:val="20"/>
          <w:szCs w:val="20"/>
          <w:color w:val="auto"/>
        </w:rPr>
      </w:pPr>
    </w:p>
    <w:p>
      <w:pPr>
        <w:jc w:val="center"/>
        <w:ind w:left="8520"/>
        <w:spacing w:after="0"/>
        <w:rPr>
          <w:sz w:val="20"/>
          <w:szCs w:val="20"/>
          <w:color w:val="auto"/>
        </w:rPr>
      </w:pP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23495</wp:posOffset>
            </wp:positionV>
            <wp:extent cx="9436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89" w:lineRule="exact"/>
        <w:rPr>
          <w:sz w:val="20"/>
          <w:szCs w:val="20"/>
          <w:color w:val="auto"/>
        </w:rPr>
      </w:pPr>
    </w:p>
    <w:p>
      <w:pPr>
        <w:jc w:val="center"/>
        <w:ind w:left="8520"/>
        <w:spacing w:after="0"/>
        <w:rPr>
          <w:sz w:val="20"/>
          <w:szCs w:val="20"/>
          <w:color w:val="auto"/>
        </w:rPr>
      </w:pPr>
      <w:r>
        <w:rPr>
          <w:rFonts w:ascii="Arial" w:cs="Arial" w:eastAsia="Arial" w:hAnsi="Arial"/>
          <w:sz w:val="12"/>
          <w:szCs w:val="12"/>
          <w:b w:val="1"/>
          <w:bCs w:val="1"/>
          <w:color w:val="auto"/>
        </w:rPr>
        <w:t>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29475"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23495</wp:posOffset>
            </wp:positionV>
            <wp:extent cx="934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89" w:lineRule="exact"/>
        <w:rPr>
          <w:sz w:val="20"/>
          <w:szCs w:val="20"/>
          <w:color w:val="auto"/>
        </w:rPr>
      </w:pPr>
    </w:p>
    <w:p>
      <w:pPr>
        <w:jc w:val="center"/>
        <w:ind w:right="420"/>
        <w:spacing w:after="0"/>
        <w:rPr>
          <w:sz w:val="20"/>
          <w:szCs w:val="20"/>
          <w:color w:val="auto"/>
        </w:rPr>
      </w:pPr>
      <w:r>
        <w:rPr>
          <w:rFonts w:ascii="Arial" w:cs="Arial" w:eastAsia="Arial" w:hAnsi="Arial"/>
          <w:sz w:val="13"/>
          <w:szCs w:val="13"/>
          <w:b w:val="1"/>
          <w:bCs w:val="1"/>
          <w:color w:val="auto"/>
        </w:rPr>
        <w:t>U.S. Plans</w:t>
      </w:r>
    </w:p>
    <w:p>
      <w:pPr>
        <w:spacing w:after="0" w:line="71" w:lineRule="exact"/>
        <w:rPr>
          <w:sz w:val="20"/>
          <w:szCs w:val="20"/>
          <w:color w:val="auto"/>
        </w:rPr>
      </w:pPr>
    </w:p>
    <w:p>
      <w:pPr>
        <w:sectPr>
          <w:pgSz w:w="11900" w:h="16838" w:orient="portrait"/>
          <w:cols w:equalWidth="0" w:num="2">
            <w:col w:w="9620" w:space="720"/>
            <w:col w:w="1060"/>
          </w:cols>
          <w:pgMar w:left="240" w:top="121" w:right="25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Amounts recognized in accumulated other comprehensive income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ind w:left="40"/>
              <w:spacing w:after="0"/>
              <w:rPr>
                <w:sz w:val="20"/>
                <w:szCs w:val="20"/>
                <w:color w:val="auto"/>
              </w:rPr>
            </w:pPr>
            <w:r>
              <w:rPr>
                <w:rFonts w:ascii="Arial" w:cs="Arial" w:eastAsia="Arial" w:hAnsi="Arial"/>
                <w:sz w:val="18"/>
                <w:szCs w:val="18"/>
                <w:color w:val="auto"/>
              </w:rPr>
              <w:t>Net loss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5,171</w:t>
            </w:r>
          </w:p>
        </w:tc>
      </w:tr>
      <w:tr>
        <w:trPr>
          <w:trHeight w:val="27"/>
        </w:trPr>
        <w:tc>
          <w:tcPr>
            <w:tcW w:w="83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Total before tax </w:t>
            </w:r>
            <w:r>
              <w:rPr>
                <w:rFonts w:ascii="Arial" w:cs="Arial" w:eastAsia="Arial" w:hAnsi="Arial"/>
                <w:sz w:val="25"/>
                <w:szCs w:val="25"/>
                <w:color w:val="auto"/>
                <w:vertAlign w:val="superscript"/>
              </w:rPr>
              <w:t>(1)</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2,978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5,171</w:t>
            </w:r>
          </w:p>
        </w:tc>
      </w:tr>
      <w:tr>
        <w:trPr>
          <w:trHeight w:val="20"/>
        </w:trPr>
        <w:tc>
          <w:tcPr>
            <w:tcW w:w="8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type w:val="continuous"/>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00"/>
          </w:cols>
          <w:pgMar w:left="240" w:top="121" w:right="259" w:bottom="1440" w:gutter="0" w:footer="0" w:header="0"/>
          <w:type w:val="continuous"/>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40" w:hanging="412"/>
        <w:spacing w:after="0" w:line="277" w:lineRule="auto"/>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After-tax totals for post-retirement healthcare benefits were $1,795 and $3,127 for 2015 and 2014, respectively, and are reflected in stockholders' equity as accumulated other comprehensive loss.</w:t>
      </w:r>
    </w:p>
    <w:p>
      <w:pPr>
        <w:spacing w:after="0" w:line="116"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following table provides the components of net periodic benefit costs, other changes in plan assets and benefit obligation recognized in other comprehensive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353"/>
              <w:spacing w:after="0"/>
              <w:rPr>
                <w:sz w:val="20"/>
                <w:szCs w:val="20"/>
                <w:color w:val="auto"/>
              </w:rPr>
            </w:pPr>
            <w:r>
              <w:rPr>
                <w:rFonts w:ascii="Arial" w:cs="Arial" w:eastAsia="Arial" w:hAnsi="Arial"/>
                <w:sz w:val="14"/>
                <w:szCs w:val="14"/>
                <w:b w:val="1"/>
                <w:bCs w:val="1"/>
                <w:color w:val="auto"/>
              </w:rPr>
              <w:t>U.S. Plans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U.S. Plans</w:t>
            </w:r>
          </w:p>
        </w:tc>
        <w:tc>
          <w:tcPr>
            <w:tcW w:w="280" w:type="dxa"/>
            <w:vAlign w:val="bottom"/>
          </w:tcPr>
          <w:p>
            <w:pPr>
              <w:spacing w:after="0"/>
              <w:rPr>
                <w:sz w:val="21"/>
                <w:szCs w:val="21"/>
                <w:color w:val="auto"/>
              </w:rPr>
            </w:pPr>
          </w:p>
        </w:tc>
        <w:tc>
          <w:tcPr>
            <w:tcW w:w="1200" w:type="dxa"/>
            <w:vAlign w:val="bottom"/>
          </w:tcPr>
          <w:p>
            <w:pPr>
              <w:jc w:val="right"/>
              <w:ind w:right="333"/>
              <w:spacing w:after="0"/>
              <w:rPr>
                <w:sz w:val="20"/>
                <w:szCs w:val="20"/>
                <w:color w:val="auto"/>
              </w:rPr>
            </w:pPr>
            <w:r>
              <w:rPr>
                <w:rFonts w:ascii="Arial" w:cs="Arial" w:eastAsia="Arial" w:hAnsi="Arial"/>
                <w:sz w:val="14"/>
                <w:szCs w:val="14"/>
                <w:b w:val="1"/>
                <w:bCs w:val="1"/>
                <w:color w:val="auto"/>
              </w:rPr>
              <w:t>U.S. Plans</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30</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457</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938</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1,110</w:t>
            </w:r>
          </w:p>
        </w:tc>
      </w:tr>
      <w:tr>
        <w:trPr>
          <w:trHeight w:val="291"/>
        </w:trPr>
        <w:tc>
          <w:tcPr>
            <w:tcW w:w="6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2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changes in plan assets and benefit obligation recognized in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1"/>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other comprehensive income (OCI)</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(gain) loss emerging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(1,848)</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recognized in OCI</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 net periodic benefit cost and OCI</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152</w:t>
            </w: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900" w:firstLine="486"/>
        <w:spacing w:after="0" w:line="308" w:lineRule="auto"/>
        <w:rPr>
          <w:sz w:val="20"/>
          <w:szCs w:val="20"/>
          <w:color w:val="auto"/>
        </w:rPr>
      </w:pPr>
      <w:r>
        <w:rPr>
          <w:rFonts w:ascii="Arial" w:cs="Arial" w:eastAsia="Arial" w:hAnsi="Arial"/>
          <w:sz w:val="17"/>
          <w:szCs w:val="17"/>
          <w:color w:val="auto"/>
        </w:rPr>
        <w:t>The estimated prior service cost and net loss for the post-retirement healthcare benefit plans that will be amortized from accumulated other comprehensive income into net periodic benefit cost during 2016 are expected to be zero and $125, respectively.</w:t>
      </w:r>
    </w:p>
    <w:p>
      <w:pPr>
        <w:spacing w:after="0" w:line="93"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weighted-average assumptions used to determine post-retirement healthcare plan obligations and net periodic benefit costs for the plans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5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2013</w:t>
            </w:r>
          </w:p>
        </w:tc>
      </w:tr>
      <w:tr>
        <w:trPr>
          <w:trHeight w:val="250"/>
        </w:trPr>
        <w:tc>
          <w:tcPr>
            <w:tcW w:w="6580" w:type="dxa"/>
            <w:vAlign w:val="bottom"/>
          </w:tcPr>
          <w:p>
            <w:pPr>
              <w:spacing w:after="0"/>
              <w:rPr>
                <w:sz w:val="21"/>
                <w:szCs w:val="21"/>
                <w:color w:val="auto"/>
              </w:rPr>
            </w:pPr>
          </w:p>
        </w:tc>
        <w:tc>
          <w:tcPr>
            <w:tcW w:w="1080" w:type="dxa"/>
            <w:vAlign w:val="bottom"/>
          </w:tcPr>
          <w:p>
            <w:pPr>
              <w:jc w:val="center"/>
              <w:ind w:left="348"/>
              <w:spacing w:after="0"/>
              <w:rPr>
                <w:sz w:val="20"/>
                <w:szCs w:val="20"/>
                <w:color w:val="auto"/>
              </w:rPr>
            </w:pPr>
            <w:r>
              <w:rPr>
                <w:rFonts w:ascii="Arial" w:cs="Arial" w:eastAsia="Arial" w:hAnsi="Arial"/>
                <w:sz w:val="14"/>
                <w:szCs w:val="14"/>
                <w:b w:val="1"/>
                <w:bCs w:val="1"/>
                <w:color w:val="auto"/>
                <w:w w:val="90"/>
              </w:rPr>
              <w:t>U.S. Plans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b w:val="1"/>
                <w:bCs w:val="1"/>
                <w:color w:val="auto"/>
              </w:rPr>
              <w:t>U.S. Plans</w:t>
            </w:r>
          </w:p>
        </w:tc>
        <w:tc>
          <w:tcPr>
            <w:tcW w:w="1540" w:type="dxa"/>
            <w:vAlign w:val="bottom"/>
          </w:tcPr>
          <w:p>
            <w:pPr>
              <w:jc w:val="right"/>
              <w:ind w:right="379"/>
              <w:spacing w:after="0"/>
              <w:rPr>
                <w:sz w:val="20"/>
                <w:szCs w:val="20"/>
                <w:color w:val="auto"/>
              </w:rPr>
            </w:pPr>
            <w:r>
              <w:rPr>
                <w:rFonts w:ascii="Arial" w:cs="Arial" w:eastAsia="Arial" w:hAnsi="Arial"/>
                <w:sz w:val="14"/>
                <w:szCs w:val="14"/>
                <w:b w:val="1"/>
                <w:bCs w:val="1"/>
                <w:color w:val="auto"/>
              </w:rPr>
              <w:t>U.S. Plans</w:t>
            </w:r>
          </w:p>
        </w:tc>
      </w:tr>
      <w:tr>
        <w:trPr>
          <w:trHeight w:val="211"/>
        </w:trPr>
        <w:tc>
          <w:tcPr>
            <w:tcW w:w="6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assumptions used to determine benefit</w:t>
            </w:r>
          </w:p>
        </w:tc>
        <w:tc>
          <w:tcPr>
            <w:tcW w:w="10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41"/>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obligations at December 31</w:t>
            </w: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Discount rate</w:t>
            </w:r>
          </w:p>
        </w:tc>
        <w:tc>
          <w:tcPr>
            <w:tcW w:w="440" w:type="dxa"/>
            <w:vAlign w:val="bottom"/>
          </w:tcPr>
          <w:p>
            <w:pPr>
              <w:jc w:val="right"/>
              <w:spacing w:after="0"/>
              <w:rPr>
                <w:sz w:val="20"/>
                <w:szCs w:val="20"/>
                <w:color w:val="auto"/>
              </w:rPr>
            </w:pPr>
            <w:r>
              <w:rPr>
                <w:rFonts w:ascii="Arial" w:cs="Arial" w:eastAsia="Arial" w:hAnsi="Arial"/>
                <w:sz w:val="18"/>
                <w:szCs w:val="18"/>
                <w:color w:val="auto"/>
                <w:w w:val="92"/>
              </w:rPr>
              <w:t>3.5%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6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5"/>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assumptions used to determine net periodic</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41"/>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benefit costs for years ended December 31</w:t>
            </w: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Discount rate</w:t>
            </w:r>
          </w:p>
        </w:tc>
        <w:tc>
          <w:tcPr>
            <w:tcW w:w="440" w:type="dxa"/>
            <w:vAlign w:val="bottom"/>
          </w:tcPr>
          <w:p>
            <w:pPr>
              <w:jc w:val="right"/>
              <w:spacing w:after="0"/>
              <w:rPr>
                <w:sz w:val="20"/>
                <w:szCs w:val="20"/>
                <w:color w:val="auto"/>
              </w:rPr>
            </w:pPr>
            <w:r>
              <w:rPr>
                <w:rFonts w:ascii="Arial" w:cs="Arial" w:eastAsia="Arial" w:hAnsi="Arial"/>
                <w:sz w:val="18"/>
                <w:szCs w:val="18"/>
                <w:color w:val="auto"/>
                <w:w w:val="92"/>
              </w:rPr>
              <w:t>3.3%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7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discount rate is determined using a benchmark pension discount curve and applying spot rates from the curve to each year of expected benefit payments to determine the appropriate discount rate for the Company. Assumed healthcare trend rates do not have a significant effect on the amounts reported for the healthcare plans because benefits for participants are capped at a fixed amount.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1" w:right="25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Future Benefit Payments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benefit payments are expected to be paid: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Pension</w:t>
            </w:r>
          </w:p>
        </w:tc>
        <w:tc>
          <w:tcPr>
            <w:tcW w:w="260" w:type="dxa"/>
            <w:vAlign w:val="bottom"/>
          </w:tcPr>
          <w:p>
            <w:pPr>
              <w:spacing w:after="0"/>
              <w:rPr>
                <w:sz w:val="14"/>
                <w:szCs w:val="14"/>
                <w:color w:val="auto"/>
              </w:rPr>
            </w:pPr>
          </w:p>
        </w:tc>
        <w:tc>
          <w:tcPr>
            <w:tcW w:w="1220" w:type="dxa"/>
            <w:vAlign w:val="bottom"/>
          </w:tcPr>
          <w:p>
            <w:pPr>
              <w:jc w:val="center"/>
              <w:ind w:right="176"/>
              <w:spacing w:after="0"/>
              <w:rPr>
                <w:sz w:val="20"/>
                <w:szCs w:val="20"/>
                <w:color w:val="auto"/>
              </w:rPr>
            </w:pPr>
            <w:r>
              <w:rPr>
                <w:rFonts w:ascii="Arial" w:cs="Arial" w:eastAsia="Arial" w:hAnsi="Arial"/>
                <w:sz w:val="14"/>
                <w:szCs w:val="14"/>
                <w:b w:val="1"/>
                <w:bCs w:val="1"/>
                <w:color w:val="auto"/>
                <w:w w:val="91"/>
              </w:rPr>
              <w:t>Post-</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3"/>
              </w:rPr>
              <w:t>retirement</w:t>
            </w:r>
          </w:p>
        </w:tc>
        <w:tc>
          <w:tcPr>
            <w:tcW w:w="0" w:type="dxa"/>
            <w:vAlign w:val="bottom"/>
          </w:tcPr>
          <w:p>
            <w:pPr>
              <w:spacing w:after="0"/>
              <w:rPr>
                <w:sz w:val="1"/>
                <w:szCs w:val="1"/>
                <w:color w:val="auto"/>
              </w:rPr>
            </w:pPr>
          </w:p>
        </w:tc>
      </w:tr>
      <w:tr>
        <w:trPr>
          <w:trHeight w:val="192"/>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260" w:type="dxa"/>
            <w:vAlign w:val="bottom"/>
          </w:tcPr>
          <w:p>
            <w:pPr>
              <w:spacing w:after="0"/>
              <w:rPr>
                <w:sz w:val="16"/>
                <w:szCs w:val="16"/>
                <w:color w:val="auto"/>
              </w:rPr>
            </w:pPr>
          </w:p>
        </w:tc>
        <w:tc>
          <w:tcPr>
            <w:tcW w:w="1220" w:type="dxa"/>
            <w:vAlign w:val="bottom"/>
          </w:tcPr>
          <w:p>
            <w:pPr>
              <w:jc w:val="center"/>
              <w:ind w:right="176"/>
              <w:spacing w:after="0"/>
              <w:rPr>
                <w:sz w:val="20"/>
                <w:szCs w:val="20"/>
                <w:color w:val="auto"/>
              </w:rPr>
            </w:pPr>
            <w:r>
              <w:rPr>
                <w:rFonts w:ascii="Arial" w:cs="Arial" w:eastAsia="Arial" w:hAnsi="Arial"/>
                <w:sz w:val="14"/>
                <w:szCs w:val="14"/>
                <w:b w:val="1"/>
                <w:bCs w:val="1"/>
                <w:color w:val="auto"/>
                <w:w w:val="94"/>
              </w:rPr>
              <w:t>Healthcare</w:t>
            </w:r>
          </w:p>
        </w:tc>
        <w:tc>
          <w:tcPr>
            <w:tcW w:w="0" w:type="dxa"/>
            <w:vAlign w:val="bottom"/>
          </w:tcPr>
          <w:p>
            <w:pPr>
              <w:spacing w:after="0"/>
              <w:rPr>
                <w:sz w:val="1"/>
                <w:szCs w:val="1"/>
                <w:color w:val="auto"/>
              </w:rPr>
            </w:pPr>
          </w:p>
        </w:tc>
      </w:tr>
      <w:tr>
        <w:trPr>
          <w:trHeight w:val="250"/>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Estimated future benefit payments: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Year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8,159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2</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Year 3</w:t>
            </w:r>
          </w:p>
        </w:tc>
        <w:tc>
          <w:tcPr>
            <w:tcW w:w="3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7,901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4</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Year 5</w:t>
            </w:r>
          </w:p>
        </w:tc>
        <w:tc>
          <w:tcPr>
            <w:tcW w:w="3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7,813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Years 6 to 10</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36,897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6,005</w:t>
            </w:r>
          </w:p>
        </w:tc>
        <w:tc>
          <w:tcPr>
            <w:tcW w:w="0" w:type="dxa"/>
            <w:vAlign w:val="bottom"/>
          </w:tcPr>
          <w:p>
            <w:pPr>
              <w:spacing w:after="0"/>
              <w:rPr>
                <w:sz w:val="1"/>
                <w:szCs w:val="1"/>
                <w:color w:val="auto"/>
              </w:rPr>
            </w:pPr>
          </w:p>
        </w:tc>
      </w:tr>
      <w:tr>
        <w:trPr>
          <w:trHeight w:val="27"/>
        </w:trPr>
        <w:tc>
          <w:tcPr>
            <w:tcW w:w="8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94"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Under the Westlake Chemical Corporation 2013 Omnibus Incentive Plan (as amended and restated, the "2013 Plan"), all employees and non-employee directors of the Company, as well as certain individuals who have agreed to become the Company's employees, are eligible for awards. Shares of common stock may be issued as authorized in the 2013 Plan. At the discretion of the administrator of the 2013 Plan, employees and non-employee directors may be granted awards in the form of stock options, stock appreciation rights, stock awards, restricted stock units or cash awards (any of which may be a performance award). Outstanding stock option awards have a 10-year term and vest either (1) ratably on an annual basis over a one to four-year period or (2) at the end of a five to 9.5-year period. Current outstanding restricted stock awards vest on the 9.5-year anniversary of the award date. Outstanding restricted stock units vest either (1) ratably on an annual basis over a three-year period or (2) at the end of a one to six-year period. In accordance with accounting guidance related to share-based payments, stock-based compensation expense for all stock-based compensation awards is based on estimated grant-date fair value. The Company recognizes these stock-based compensation costs net of a forfeiture rate and on a straight-line basis over the requisite service period of the award for only those shares expected to vest. For the years ended December 31, 2015, 2014 and 2013, the total recognized stock-based compensation expense related to the 2013 Plan was $10,196, $9,261 and $6,966, respectively.</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Option activity and changes during the year ended December 31, 2015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40" w:type="dxa"/>
            <w:vAlign w:val="bottom"/>
            <w:vMerge w:val="restart"/>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6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2"/>
                <w:szCs w:val="12"/>
                <w:color w:val="auto"/>
              </w:rPr>
            </w:pPr>
          </w:p>
        </w:tc>
        <w:tc>
          <w:tcPr>
            <w:tcW w:w="12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6"/>
                <w:szCs w:val="16"/>
                <w:color w:val="auto"/>
              </w:rPr>
            </w:pPr>
          </w:p>
        </w:tc>
        <w:tc>
          <w:tcPr>
            <w:tcW w:w="1240" w:type="dxa"/>
            <w:vAlign w:val="bottom"/>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1,179,402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168,369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67.59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32.92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Cancelled</w:t>
            </w:r>
          </w:p>
        </w:tc>
        <w:tc>
          <w:tcPr>
            <w:tcW w:w="1500" w:type="dxa"/>
            <w:vAlign w:val="bottom"/>
          </w:tcPr>
          <w:p>
            <w:pPr>
              <w:jc w:val="right"/>
              <w:spacing w:after="0"/>
              <w:rPr>
                <w:sz w:val="20"/>
                <w:szCs w:val="20"/>
                <w:color w:val="auto"/>
              </w:rPr>
            </w:pPr>
            <w:r>
              <w:rPr>
                <w:rFonts w:ascii="Arial" w:cs="Arial" w:eastAsia="Arial" w:hAnsi="Arial"/>
                <w:sz w:val="18"/>
                <w:szCs w:val="18"/>
                <w:color w:val="auto"/>
              </w:rPr>
              <w:t>(47,673)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32.64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1,267,790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30.07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34,577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Exercisable at December 31, 2015</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822,573</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29,376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8320" w:type="dxa"/>
            <w:vAlign w:val="bottom"/>
            <w:gridSpan w:val="7"/>
          </w:tcPr>
          <w:p>
            <w:pPr>
              <w:ind w:left="400"/>
              <w:spacing w:after="0"/>
              <w:rPr>
                <w:sz w:val="20"/>
                <w:szCs w:val="20"/>
                <w:color w:val="auto"/>
              </w:rPr>
            </w:pPr>
            <w:r>
              <w:rPr>
                <w:rFonts w:ascii="Arial" w:cs="Arial" w:eastAsia="Arial" w:hAnsi="Arial"/>
                <w:sz w:val="18"/>
                <w:szCs w:val="18"/>
                <w:color w:val="auto"/>
                <w:w w:val="97"/>
              </w:rPr>
              <w:t>For options outstanding at December 31, 2015, the options had the following range of exercise prices: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2"/>
                <w:szCs w:val="12"/>
                <w:color w:val="auto"/>
              </w:rPr>
            </w:pPr>
          </w:p>
        </w:tc>
        <w:tc>
          <w:tcPr>
            <w:tcW w:w="124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Range of Prices</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3"/>
                <w:szCs w:val="13"/>
                <w:color w:val="auto"/>
              </w:rPr>
            </w:pPr>
          </w:p>
        </w:tc>
        <w:tc>
          <w:tcPr>
            <w:tcW w:w="1240" w:type="dxa"/>
            <w:vAlign w:val="bottom"/>
          </w:tcPr>
          <w:p>
            <w:pPr>
              <w:jc w:val="center"/>
              <w:ind w:right="160"/>
              <w:spacing w:after="0" w:line="158" w:lineRule="exact"/>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$7.12 - $9.65</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304,200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$10.26 - $18.05</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349,906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$22.92 - $30.05</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191,292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$40.38 - $52.35</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107,562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$63.98 - $68.18</w:t>
            </w: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314,830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1" w:right="239" w:bottom="1440" w:gutter="0" w:footer="0" w:header="0"/>
          <w:type w:val="continuous"/>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The aggregate intrinsic value in the table above represents the total pretax intrinsic value (the difference between the Company's closing stock price on the last trading day of the year and the exercise price, multiplied by the number of in-the-money options) that would have been received by the option holders had all option holders exercised their options on December 31, 2015. This amount changes based on the fair market value of the Company's common stock. For the years ended December 31, 2015, 2014 and 2013, the total intrinsic value of options exercised was $1,145, $14,534 and $7,656, respectively.</w:t>
      </w:r>
    </w:p>
    <w:p>
      <w:pPr>
        <w:spacing w:after="0" w:line="100"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As of December 31, 2015, $3,755 of total unrecognized compensation cost related to stock options is expected to be recognized over a weighted-average period of 1.3 years. Income tax benefits of $78, $4,512 and $2,224 were realized from the exercise of stock options during the years ended December 31, 2015, 2014 and 2013, respectively.</w:t>
      </w:r>
    </w:p>
    <w:p>
      <w:pPr>
        <w:spacing w:after="0" w:line="127"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The Company used the Black-Scholes option pricing model to value its options. The table below presents the weighted average value and assumptions used in determining each option's fair value. Volatility was calculated using historical trends of the Company's common stock price.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Stock Option Grants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50"/>
        </w:trPr>
        <w:tc>
          <w:tcPr>
            <w:tcW w:w="65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64"/>
        </w:trPr>
        <w:tc>
          <w:tcPr>
            <w:tcW w:w="65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fair value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8"/>
              </w:rPr>
              <w:t>20.21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20.49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17.03</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5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Non-vested restricted stock awards as of December 31, 2015 and changes during the year ended December 31, 2015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122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6"/>
                <w:szCs w:val="16"/>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2014</w:t>
            </w:r>
          </w:p>
        </w:tc>
        <w:tc>
          <w:tcPr>
            <w:tcW w:w="14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205,056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Pr>
          <w:p>
            <w:pPr>
              <w:jc w:val="right"/>
              <w:spacing w:after="0"/>
              <w:rPr>
                <w:sz w:val="20"/>
                <w:szCs w:val="20"/>
                <w:color w:val="auto"/>
              </w:rPr>
            </w:pPr>
            <w:r>
              <w:rPr>
                <w:rFonts w:ascii="Arial" w:cs="Arial" w:eastAsia="Arial" w:hAnsi="Arial"/>
                <w:sz w:val="18"/>
                <w:szCs w:val="18"/>
                <w:color w:val="auto"/>
              </w:rPr>
              <w:t>(124,380)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Non-vested at December 31, 2015</w:t>
            </w:r>
          </w:p>
        </w:tc>
        <w:tc>
          <w:tcPr>
            <w:tcW w:w="1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64,856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As of December 31, 2015, there was $119 of unrecognized stock-based compensation expense related to non-vested restricted stock awards. This cost is expected to be recognized over a weighted-average period of 0.6 years. The total fair value of shares of restricted stock that vested during the years ended December 31, 2015, 2014 and 2013 was $8,363, $8,831 and $12,480, respectively.</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Non-vested restricted stock unit as of December 31, 2015 and changes during the year ended December 31, 2015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12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Units</w:t>
            </w:r>
          </w:p>
        </w:tc>
        <w:tc>
          <w:tcPr>
            <w:tcW w:w="260" w:type="dxa"/>
            <w:vAlign w:val="bottom"/>
          </w:tcPr>
          <w:p>
            <w:pPr>
              <w:spacing w:after="0"/>
              <w:rPr>
                <w:sz w:val="16"/>
                <w:szCs w:val="16"/>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2014</w:t>
            </w:r>
          </w:p>
        </w:tc>
        <w:tc>
          <w:tcPr>
            <w:tcW w:w="14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422,000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100,258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65.77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61.08</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(11,109)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2015</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498,872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As of December 31, 2015, there was $14,925 of unrecognized stock-based compensation expense related to non-vested restricted stock units. This cost is expected to be recognized over a weighted-average period of 2.5 years. The total fair value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that vested during the years ended December 31, 2015, 2014 and 2013 was $725, $371 and $14,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Westlake Chemical Partners LP Awards</w:t>
      </w:r>
    </w:p>
    <w:p>
      <w:pPr>
        <w:spacing w:after="0" w:line="9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Our wholly-owned subsidiary and the general partner of Westlake Partners, Westlake Chemical Partners GP LLC ("WLKPGP"), maintains a unit-based compensation plan for directors and employees of WLKPGP and Westlake Partners.</w:t>
      </w:r>
    </w:p>
    <w:p>
      <w:pPr>
        <w:spacing w:after="0" w:line="11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Westlake Partners 2014 Long-term Incentive Plan ("Westlake Partners 2014 Plan") permits various types of equity awards including but not limited to grants of phantom units and restricted units. Awards granted under the Westlake Partners 2014 Plan may be settled with Westlake Partners units or in cash or a combination thereof. Compensation expense for these awards was not material to our consolidated financial statements for the years ended December 31, 2015 and 2014.</w:t>
      </w:r>
    </w:p>
    <w:p>
      <w:pPr>
        <w:spacing w:after="0" w:line="210" w:lineRule="exact"/>
        <w:rPr>
          <w:sz w:val="20"/>
          <w:szCs w:val="20"/>
          <w:color w:val="auto"/>
        </w:rPr>
      </w:pPr>
    </w:p>
    <w:p>
      <w:pPr>
        <w:ind w:right="8380" w:firstLine="8"/>
        <w:spacing w:after="0" w:line="390" w:lineRule="auto"/>
        <w:tabs>
          <w:tab w:leader="none" w:pos="27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 Commodity Instruments </w:t>
      </w:r>
      <w:r>
        <w:rPr>
          <w:rFonts w:ascii="Arial" w:cs="Arial" w:eastAsia="Arial" w:hAnsi="Arial"/>
          <w:sz w:val="16"/>
          <w:szCs w:val="16"/>
          <w:b w:val="1"/>
          <w:bCs w:val="1"/>
          <w:i w:val="1"/>
          <w:iCs w:val="1"/>
          <w:color w:val="auto"/>
        </w:rPr>
        <w:t>Commodity Risk Management</w:t>
      </w:r>
    </w:p>
    <w:p>
      <w:pPr>
        <w:ind w:right="480" w:firstLine="432"/>
        <w:spacing w:after="0" w:line="277" w:lineRule="auto"/>
        <w:rPr>
          <w:sz w:val="20"/>
          <w:szCs w:val="20"/>
          <w:color w:val="auto"/>
        </w:rPr>
      </w:pPr>
      <w:r>
        <w:rPr>
          <w:rFonts w:ascii="Arial" w:cs="Arial" w:eastAsia="Arial" w:hAnsi="Arial"/>
          <w:sz w:val="18"/>
          <w:szCs w:val="18"/>
          <w:color w:val="auto"/>
        </w:rPr>
        <w:t>The Company uses derivative instruments to reduce price volatility risk on commodities, primarily natural gas and ethane, from time to time. The Company does not use derivative instruments to engage in speculative activities.</w:t>
      </w:r>
    </w:p>
    <w:p>
      <w:pPr>
        <w:spacing w:after="0" w:line="11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For derivative instruments that are designated and qualify as fair value hedges, the gains or losses on the derivative instruments, as well as the offsetting losses or gains on the hedged items attributable to the hedged risk, were included in cost of sales in the consolidated statement of operations for the year ended December 31, 2013. The Company had no derivative instruments that were designated as fair value hedges during the years ended December 31, 2015 and 2014.</w:t>
      </w:r>
    </w:p>
    <w:p>
      <w:pPr>
        <w:spacing w:after="0" w:line="13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Gains and losses from changes in the fair value of derivative instruments that are not designated as hedging instruments were included in gross profit in the consolidated statements of operations for the years ended December 31, 2015, 2014 and 2013.</w:t>
      </w:r>
    </w:p>
    <w:p>
      <w:pPr>
        <w:spacing w:after="0" w:line="11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exposure on commodity derivatives used for price risk management includes the risk that the counterparty will not pay if the market declines below the established fixed price. In such case, the Company would lose the benefit of the derivative differential on the volume of the commodities covered. In any event, the Company would continue to receive the market price on the actual volume hedged. The Company also bears the risk that it could lose the benefit of market improvements over the fixed derivative price for the term and volume of the derivative instruments (as such improvements would accrue to the benefit of the counterparty).</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derivative instruments in the Company's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299"/>
              <w:spacing w:after="0"/>
              <w:rPr>
                <w:sz w:val="20"/>
                <w:szCs w:val="20"/>
                <w:color w:val="auto"/>
              </w:rPr>
            </w:pPr>
            <w:r>
              <w:rPr>
                <w:rFonts w:ascii="Arial" w:cs="Arial" w:eastAsia="Arial" w:hAnsi="Arial"/>
                <w:sz w:val="14"/>
                <w:szCs w:val="14"/>
                <w:b w:val="1"/>
                <w:bCs w:val="1"/>
                <w:color w:val="auto"/>
                <w:w w:val="90"/>
              </w:rPr>
              <w:t>Asset Derivatives</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w w:val="94"/>
              </w:rPr>
              <w:t>Fair Value as of December 31,</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1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Balance Sheet Location</w:t>
            </w: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Not designated as hedging instruments</w:t>
            </w:r>
          </w:p>
        </w:tc>
        <w:tc>
          <w:tcPr>
            <w:tcW w:w="2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Commodity forward contracts</w:t>
            </w:r>
          </w:p>
        </w:tc>
        <w:tc>
          <w:tcPr>
            <w:tcW w:w="21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52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3,465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Commodity forward contracts</w:t>
            </w:r>
          </w:p>
        </w:tc>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charges and</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assets, net</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Total asset derivatives</w:t>
            </w:r>
          </w:p>
        </w:tc>
        <w:tc>
          <w:tcPr>
            <w:tcW w:w="2120" w:type="dxa"/>
            <w:vAlign w:val="bottom"/>
          </w:tcPr>
          <w:p>
            <w:pPr>
              <w:spacing w:after="0"/>
              <w:rPr>
                <w:sz w:val="22"/>
                <w:szCs w:val="22"/>
                <w:color w:val="auto"/>
              </w:rPr>
            </w:pPr>
          </w:p>
        </w:tc>
        <w:tc>
          <w:tcPr>
            <w:tcW w:w="960" w:type="dxa"/>
            <w:vAlign w:val="bottom"/>
            <w:gridSpan w:val="2"/>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5,553</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260" w:type="dxa"/>
            <w:vAlign w:val="bottom"/>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640"/>
              <w:spacing w:after="0"/>
              <w:rPr>
                <w:sz w:val="20"/>
                <w:szCs w:val="20"/>
                <w:color w:val="auto"/>
              </w:rPr>
            </w:pPr>
            <w:r>
              <w:rPr>
                <w:rFonts w:ascii="Arial" w:cs="Arial" w:eastAsia="Arial" w:hAnsi="Arial"/>
                <w:sz w:val="14"/>
                <w:szCs w:val="14"/>
                <w:b w:val="1"/>
                <w:bCs w:val="1"/>
                <w:color w:val="auto"/>
                <w:w w:val="95"/>
              </w:rPr>
              <w:t>Liability Derivatives</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w w:val="94"/>
              </w:rPr>
              <w:t>Fair Value as of December 31,</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1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Balance Sheet Location</w:t>
            </w: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Not designated as hedging instruments</w:t>
            </w:r>
          </w:p>
        </w:tc>
        <w:tc>
          <w:tcPr>
            <w:tcW w:w="2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Commodity forward contracts</w:t>
            </w:r>
          </w:p>
        </w:tc>
        <w:tc>
          <w:tcPr>
            <w:tcW w:w="212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52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9,325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6,549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forward contracts</w:t>
            </w:r>
          </w:p>
        </w:tc>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12,437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Total liability derivatives</w:t>
            </w:r>
          </w:p>
        </w:tc>
        <w:tc>
          <w:tcPr>
            <w:tcW w:w="2120" w:type="dxa"/>
            <w:vAlign w:val="bottom"/>
          </w:tcPr>
          <w:p>
            <w:pPr>
              <w:spacing w:after="0"/>
              <w:rPr>
                <w:sz w:val="22"/>
                <w:szCs w:val="22"/>
                <w:color w:val="auto"/>
              </w:rPr>
            </w:pPr>
          </w:p>
        </w:tc>
        <w:tc>
          <w:tcPr>
            <w:tcW w:w="960" w:type="dxa"/>
            <w:vAlign w:val="bottom"/>
            <w:gridSpan w:val="2"/>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21,762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10,108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120" w:type="dxa"/>
            <w:vAlign w:val="bottom"/>
            <w:vMerge w:val="restart"/>
          </w:tcPr>
          <w:p>
            <w:pPr>
              <w:ind w:left="360"/>
              <w:spacing w:after="0"/>
              <w:rPr>
                <w:sz w:val="20"/>
                <w:szCs w:val="20"/>
                <w:color w:val="auto"/>
              </w:rPr>
            </w:pPr>
            <w:r>
              <w:rPr>
                <w:rFonts w:ascii="Arial" w:cs="Arial" w:eastAsia="Arial" w:hAnsi="Arial"/>
                <w:sz w:val="18"/>
                <w:szCs w:val="18"/>
                <w:color w:val="auto"/>
              </w:rPr>
              <w:t>75</w:t>
            </w: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2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The following tables reflect the impact of derivative instruments designated as fair value hedges and the related hedged item on the Company's consolidated statement of operations. There was no material ineffectiveness with regard to the Company's qualifying hedges for the year ended December 31, 2013. The Company had no derivative instruments that were designated as fair value hedges during the years ended December 31, 2015 and 2014.</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44"/>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203"/>
        </w:trPr>
        <w:tc>
          <w:tcPr>
            <w:tcW w:w="686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in Fair Value</w:t>
            </w:r>
          </w:p>
        </w:tc>
        <w:tc>
          <w:tcPr>
            <w:tcW w:w="3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Location of Gain (Loss)</w:t>
            </w:r>
          </w:p>
        </w:tc>
        <w:tc>
          <w:tcPr>
            <w:tcW w:w="220" w:type="dxa"/>
            <w:vAlign w:val="bottom"/>
          </w:tcPr>
          <w:p>
            <w:pPr>
              <w:spacing w:after="0"/>
              <w:rPr>
                <w:sz w:val="17"/>
                <w:szCs w:val="17"/>
                <w:color w:val="auto"/>
              </w:rPr>
            </w:pPr>
          </w:p>
        </w:tc>
        <w:tc>
          <w:tcPr>
            <w:tcW w:w="1260" w:type="dxa"/>
            <w:vAlign w:val="bottom"/>
          </w:tcPr>
          <w:p>
            <w:pPr>
              <w:jc w:val="center"/>
              <w:ind w:right="14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Hedging Relationships</w:t>
            </w:r>
          </w:p>
        </w:tc>
        <w:tc>
          <w:tcPr>
            <w:tcW w:w="120" w:type="dxa"/>
            <w:vAlign w:val="bottom"/>
            <w:tcBorders>
              <w:bottom w:val="single" w:sz="8" w:color="CCEEFF"/>
            </w:tcBorders>
          </w:tcPr>
          <w:p>
            <w:pPr>
              <w:spacing w:after="0"/>
              <w:rPr>
                <w:sz w:val="16"/>
                <w:szCs w:val="16"/>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Recognized in Income on Derivative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forward contracts</w:t>
            </w: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Location of Gain (Loss)</w:t>
            </w:r>
          </w:p>
        </w:tc>
        <w:tc>
          <w:tcPr>
            <w:tcW w:w="220" w:type="dxa"/>
            <w:vAlign w:val="bottom"/>
          </w:tcPr>
          <w:p>
            <w:pPr>
              <w:spacing w:after="0"/>
              <w:rPr>
                <w:sz w:val="23"/>
                <w:szCs w:val="23"/>
                <w:color w:val="auto"/>
              </w:rPr>
            </w:pPr>
          </w:p>
        </w:tc>
        <w:tc>
          <w:tcPr>
            <w:tcW w:w="1260" w:type="dxa"/>
            <w:vAlign w:val="bottom"/>
          </w:tcPr>
          <w:p>
            <w:pPr>
              <w:jc w:val="center"/>
              <w:ind w:right="144"/>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54"/>
        </w:trPr>
        <w:tc>
          <w:tcPr>
            <w:tcW w:w="6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Hedged Items in Fair Value</w:t>
            </w:r>
          </w:p>
        </w:tc>
        <w:tc>
          <w:tcPr>
            <w:tcW w:w="30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vMerge w:val="restart"/>
          </w:tcPr>
          <w:p>
            <w:pPr>
              <w:jc w:val="center"/>
              <w:ind w:right="14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6860" w:type="dxa"/>
            <w:vAlign w:val="bottom"/>
            <w:gridSpan w:val="2"/>
            <w:vMerge w:val="continue"/>
          </w:tcPr>
          <w:p>
            <w:pPr>
              <w:spacing w:after="0"/>
              <w:rPr>
                <w:sz w:val="12"/>
                <w:szCs w:val="12"/>
                <w:color w:val="auto"/>
              </w:rPr>
            </w:pPr>
          </w:p>
        </w:tc>
        <w:tc>
          <w:tcPr>
            <w:tcW w:w="3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Hedging Relationships</w:t>
            </w:r>
          </w:p>
        </w:tc>
        <w:tc>
          <w:tcPr>
            <w:tcW w:w="120" w:type="dxa"/>
            <w:vAlign w:val="bottom"/>
            <w:tcBorders>
              <w:bottom w:val="single" w:sz="8" w:color="CCEEFF"/>
            </w:tcBorders>
          </w:tcPr>
          <w:p>
            <w:pPr>
              <w:spacing w:after="0"/>
              <w:rPr>
                <w:sz w:val="16"/>
                <w:szCs w:val="16"/>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Hedged Items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Firm commitment designated as the hedged item</w:t>
            </w: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impact of derivative instruments that have not been designated as hedges on the Company's consolidated statements of operations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w:t>
            </w:r>
          </w:p>
        </w:tc>
        <w:tc>
          <w:tcPr>
            <w:tcW w:w="2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Location of Gain (Loss)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3780" w:type="dxa"/>
            <w:vAlign w:val="bottom"/>
            <w:gridSpan w:val="2"/>
            <w:vMerge w:val="continue"/>
          </w:tcPr>
          <w:p>
            <w:pPr>
              <w:spacing w:after="0"/>
              <w:rPr>
                <w:sz w:val="6"/>
                <w:szCs w:val="6"/>
                <w:color w:val="auto"/>
              </w:rPr>
            </w:pPr>
          </w:p>
        </w:tc>
        <w:tc>
          <w:tcPr>
            <w:tcW w:w="29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Hedging Instruments</w:t>
            </w:r>
          </w:p>
        </w:tc>
        <w:tc>
          <w:tcPr>
            <w:tcW w:w="120" w:type="dxa"/>
            <w:vAlign w:val="bottom"/>
            <w:tcBorders>
              <w:bottom w:val="single" w:sz="8" w:color="CCEEFF"/>
            </w:tcBorders>
          </w:tcPr>
          <w:p>
            <w:pPr>
              <w:spacing w:after="0"/>
              <w:rPr>
                <w:sz w:val="16"/>
                <w:szCs w:val="16"/>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Recognized in Income on Derivative</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Commodity forward contracts</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14 for the fair value of the Company's derivative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about Offsetting Asset and Liability Derivatives</w:t>
      </w:r>
    </w:p>
    <w:p>
      <w:pPr>
        <w:spacing w:after="0" w:line="90" w:lineRule="exact"/>
        <w:rPr>
          <w:sz w:val="20"/>
          <w:szCs w:val="20"/>
          <w:color w:val="auto"/>
        </w:rPr>
      </w:pPr>
    </w:p>
    <w:p>
      <w:pPr>
        <w:jc w:val="both"/>
        <w:ind w:right="80" w:firstLine="432"/>
        <w:spacing w:after="0" w:line="279" w:lineRule="auto"/>
        <w:rPr>
          <w:sz w:val="20"/>
          <w:szCs w:val="20"/>
          <w:color w:val="auto"/>
        </w:rPr>
      </w:pPr>
      <w:r>
        <w:rPr>
          <w:rFonts w:ascii="Arial" w:cs="Arial" w:eastAsia="Arial" w:hAnsi="Arial"/>
          <w:sz w:val="17"/>
          <w:szCs w:val="17"/>
          <w:color w:val="auto"/>
        </w:rPr>
        <w:t>Certain of the Company's derivative instruments are executed under an International Swaps and Derivatives Association ("ISDA") Master Agreement, which permits the Company and a counterparty to aggregate the amounts owed by each party under multiple transactions and replace them with a single net amount payable by one party to the other. The following tables present the Company's derivative assets and derivative liabilities reported on the consolidated balance sheets and derivative assets and derivative liabilities subject to enforceable master netting arrangements.</w:t>
      </w:r>
    </w:p>
    <w:p>
      <w:pPr>
        <w:spacing w:after="0" w:line="109"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Derivative Assets</w:t>
      </w:r>
    </w:p>
    <w:p>
      <w:pPr>
        <w:spacing w:after="0" w:line="4"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405"/>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w w:val="93"/>
              </w:rPr>
              <w:t>Derivative assets subject to enforceable master netting arrangements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43"/>
        </w:trPr>
        <w:tc>
          <w:tcPr>
            <w:tcW w:w="5260" w:type="dxa"/>
            <w:vAlign w:val="bottom"/>
            <w:gridSpan w:val="5"/>
          </w:tcPr>
          <w:p>
            <w:pPr>
              <w:ind w:left="40"/>
              <w:spacing w:after="0"/>
              <w:rPr>
                <w:sz w:val="20"/>
                <w:szCs w:val="20"/>
                <w:color w:val="auto"/>
              </w:rPr>
            </w:pPr>
            <w:r>
              <w:rPr>
                <w:rFonts w:ascii="Arial" w:cs="Arial" w:eastAsia="Arial" w:hAnsi="Arial"/>
                <w:sz w:val="18"/>
                <w:szCs w:val="18"/>
                <w:color w:val="auto"/>
                <w:w w:val="89"/>
              </w:rPr>
              <w:t>Derivative assets not subject to enforceable master netting arrangements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 assets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December 31, 2015</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1"/>
              </w:rPr>
              <w:t>December 31, 2014</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Gross Amounts</w:t>
            </w:r>
          </w:p>
        </w:tc>
        <w:tc>
          <w:tcPr>
            <w:tcW w:w="12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Net Amounts of</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91"/>
              </w:rPr>
              <w:t>Gross Amounts</w:t>
            </w:r>
          </w:p>
        </w:tc>
        <w:tc>
          <w:tcPr>
            <w:tcW w:w="11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Net Amounts of</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Gross Amounts of</w:t>
            </w:r>
          </w:p>
        </w:tc>
        <w:tc>
          <w:tcPr>
            <w:tcW w:w="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Assets Presented</w:t>
            </w: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Assets Presented</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in the</w:t>
            </w: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2"/>
                <w:szCs w:val="12"/>
                <w:color w:val="auto"/>
              </w:rPr>
            </w:pPr>
          </w:p>
        </w:tc>
        <w:tc>
          <w:tcPr>
            <w:tcW w:w="10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in the</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Offsetting of Derivative Assets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000" w:type="dxa"/>
            <w:vAlign w:val="bottom"/>
            <w:gridSpan w:val="2"/>
          </w:tcPr>
          <w:p>
            <w:pPr>
              <w:jc w:val="center"/>
              <w:ind w:right="1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120" w:type="dxa"/>
            <w:vAlign w:val="bottom"/>
          </w:tcPr>
          <w:p>
            <w:pPr>
              <w:spacing w:after="0"/>
              <w:rPr>
                <w:sz w:val="12"/>
                <w:szCs w:val="12"/>
                <w:color w:val="auto"/>
              </w:rPr>
            </w:pPr>
          </w:p>
        </w:tc>
        <w:tc>
          <w:tcPr>
            <w:tcW w:w="12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0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2"/>
              </w:rPr>
              <w:t>Assets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w w:val="87"/>
              </w:rPr>
              <w:t>Assets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Balance Sheet</w:t>
            </w:r>
          </w:p>
        </w:tc>
        <w:tc>
          <w:tcPr>
            <w:tcW w:w="0" w:type="dxa"/>
            <w:vAlign w:val="bottom"/>
          </w:tcPr>
          <w:p>
            <w:pPr>
              <w:spacing w:after="0"/>
              <w:rPr>
                <w:sz w:val="1"/>
                <w:szCs w:val="1"/>
                <w:color w:val="auto"/>
              </w:rPr>
            </w:pPr>
          </w:p>
        </w:tc>
      </w:tr>
      <w:tr>
        <w:trPr>
          <w:trHeight w:val="263"/>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Commodity forward contracts</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5,091</w:t>
            </w:r>
          </w:p>
        </w:tc>
        <w:tc>
          <w:tcPr>
            <w:tcW w:w="8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3,034</w:t>
            </w:r>
          </w:p>
        </w:tc>
        <w:tc>
          <w:tcPr>
            <w:tcW w:w="800" w:type="dxa"/>
            <w:vAlign w:val="bottom"/>
            <w:gridSpan w:val="2"/>
            <w:shd w:val="clear" w:color="auto" w:fill="CCEEFF"/>
          </w:tcPr>
          <w:p>
            <w:pPr>
              <w:jc w:val="right"/>
              <w:ind w:right="485"/>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(701)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December 31, 2015</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1"/>
              </w:rPr>
              <w:t>December 31, 2014</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3"/>
              </w:rPr>
              <w:t>Net Amounts of</w:t>
            </w:r>
          </w:p>
        </w:tc>
        <w:tc>
          <w:tcPr>
            <w:tcW w:w="20" w:type="dxa"/>
            <w:vAlign w:val="bottom"/>
          </w:tcPr>
          <w:p>
            <w:pPr>
              <w:spacing w:after="0"/>
              <w:rPr>
                <w:sz w:val="13"/>
                <w:szCs w:val="13"/>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2"/>
              </w:rPr>
              <w:t>Net Amounts of</w:t>
            </w:r>
          </w:p>
        </w:tc>
        <w:tc>
          <w:tcPr>
            <w:tcW w:w="120" w:type="dxa"/>
            <w:vAlign w:val="bottom"/>
          </w:tcPr>
          <w:p>
            <w:pPr>
              <w:spacing w:after="0"/>
              <w:rPr>
                <w:sz w:val="13"/>
                <w:szCs w:val="13"/>
                <w:color w:val="auto"/>
              </w:rPr>
            </w:pPr>
          </w:p>
        </w:tc>
        <w:tc>
          <w:tcPr>
            <w:tcW w:w="124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Assets Presented</w:t>
            </w:r>
          </w:p>
        </w:tc>
        <w:tc>
          <w:tcPr>
            <w:tcW w:w="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Assets Presented</w:t>
            </w:r>
          </w:p>
        </w:tc>
        <w:tc>
          <w:tcPr>
            <w:tcW w:w="12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 the</w:t>
            </w:r>
          </w:p>
        </w:tc>
        <w:tc>
          <w:tcPr>
            <w:tcW w:w="2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Not Offset in the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0"/>
              <w:spacing w:after="0" w:line="149" w:lineRule="exact"/>
              <w:rPr>
                <w:sz w:val="20"/>
                <w:szCs w:val="20"/>
                <w:color w:val="auto"/>
              </w:rPr>
            </w:pPr>
            <w:r>
              <w:rPr>
                <w:rFonts w:ascii="Arial" w:cs="Arial" w:eastAsia="Arial" w:hAnsi="Arial"/>
                <w:sz w:val="14"/>
                <w:szCs w:val="14"/>
                <w:b w:val="1"/>
                <w:bCs w:val="1"/>
                <w:color w:val="auto"/>
                <w:w w:val="96"/>
              </w:rPr>
              <w:t>in the</w:t>
            </w:r>
          </w:p>
        </w:tc>
        <w:tc>
          <w:tcPr>
            <w:tcW w:w="120" w:type="dxa"/>
            <w:vAlign w:val="bottom"/>
          </w:tcPr>
          <w:p>
            <w:pPr>
              <w:spacing w:after="0"/>
              <w:rPr>
                <w:sz w:val="12"/>
                <w:szCs w:val="12"/>
                <w:color w:val="auto"/>
              </w:rPr>
            </w:pPr>
          </w:p>
        </w:tc>
        <w:tc>
          <w:tcPr>
            <w:tcW w:w="12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Not Offset in the</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Assets by Counterparty</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00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5"/>
              </w:rPr>
              <w:t>Net Amount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2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02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95"/>
              </w:rPr>
              <w:t>Net Amount</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Balance Sheet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Counterparty A</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2,333</w:t>
            </w:r>
          </w:p>
        </w:tc>
        <w:tc>
          <w:tcPr>
            <w:tcW w:w="800" w:type="dxa"/>
            <w:vAlign w:val="bottom"/>
            <w:tcBorders>
              <w:bottom w:val="single" w:sz="8" w:color="CCEEFF"/>
            </w:tcBorders>
            <w:gridSpan w:val="2"/>
            <w:shd w:val="clear" w:color="auto" w:fill="CCEEFF"/>
          </w:tcPr>
          <w:p>
            <w:pPr>
              <w:jc w:val="right"/>
              <w:ind w:right="48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57"/>
        </w:trPr>
        <w:tc>
          <w:tcPr>
            <w:tcW w:w="400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2,333</w:t>
            </w:r>
          </w:p>
        </w:tc>
        <w:tc>
          <w:tcPr>
            <w:tcW w:w="1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54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54"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Derivative Liabilities</w:t>
      </w:r>
    </w:p>
    <w:p>
      <w:pPr>
        <w:spacing w:after="0" w:line="4"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w w:val="90"/>
              </w:rPr>
              <w:t>Derivative liabilities subject to enforceable master netting arrangements</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4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43"/>
        </w:trPr>
        <w:tc>
          <w:tcPr>
            <w:tcW w:w="6540" w:type="dxa"/>
            <w:vAlign w:val="bottom"/>
            <w:gridSpan w:val="9"/>
          </w:tcPr>
          <w:p>
            <w:pPr>
              <w:ind w:left="40"/>
              <w:spacing w:after="0"/>
              <w:rPr>
                <w:sz w:val="20"/>
                <w:szCs w:val="20"/>
                <w:color w:val="auto"/>
              </w:rPr>
            </w:pPr>
            <w:r>
              <w:rPr>
                <w:rFonts w:ascii="Arial" w:cs="Arial" w:eastAsia="Arial" w:hAnsi="Arial"/>
                <w:sz w:val="18"/>
                <w:szCs w:val="18"/>
                <w:color w:val="auto"/>
              </w:rPr>
              <w:t>Derivative liabilities not subject to enforceable master netting arrangements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10,868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7,917</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16,671</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9,407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2015</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1"/>
              </w:rPr>
              <w:t>December 31, 2014</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Gross Amounts</w:t>
            </w:r>
          </w:p>
        </w:tc>
        <w:tc>
          <w:tcPr>
            <w:tcW w:w="12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Net Amounts of</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91"/>
              </w:rPr>
              <w:t>Gross Amounts</w:t>
            </w:r>
          </w:p>
        </w:tc>
        <w:tc>
          <w:tcPr>
            <w:tcW w:w="11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Net Amounts of</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6"/>
              </w:rPr>
              <w:t>Gross Amounts of</w:t>
            </w:r>
          </w:p>
        </w:tc>
        <w:tc>
          <w:tcPr>
            <w:tcW w:w="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Liabilities</w:t>
            </w: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Liabilities</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Offsetting of Derivative Liabilities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000" w:type="dxa"/>
            <w:vAlign w:val="bottom"/>
            <w:gridSpan w:val="2"/>
          </w:tcPr>
          <w:p>
            <w:pPr>
              <w:jc w:val="center"/>
              <w:ind w:right="1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120" w:type="dxa"/>
            <w:vAlign w:val="bottom"/>
          </w:tcPr>
          <w:p>
            <w:pPr>
              <w:spacing w:after="0"/>
              <w:rPr>
                <w:sz w:val="12"/>
                <w:szCs w:val="12"/>
                <w:color w:val="auto"/>
              </w:rPr>
            </w:pPr>
          </w:p>
        </w:tc>
        <w:tc>
          <w:tcPr>
            <w:tcW w:w="12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0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5"/>
              </w:rPr>
              <w:t>Liabilities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w w:val="92"/>
              </w:rPr>
              <w:t>Liabilities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Balance Sheet</w:t>
            </w:r>
          </w:p>
        </w:tc>
        <w:tc>
          <w:tcPr>
            <w:tcW w:w="0" w:type="dxa"/>
            <w:vAlign w:val="bottom"/>
          </w:tcPr>
          <w:p>
            <w:pPr>
              <w:spacing w:after="0"/>
              <w:rPr>
                <w:sz w:val="1"/>
                <w:szCs w:val="1"/>
                <w:color w:val="auto"/>
              </w:rPr>
            </w:pPr>
          </w:p>
        </w:tc>
      </w:tr>
      <w:tr>
        <w:trPr>
          <w:trHeight w:val="263"/>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Commodity forward contracts</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10,894</w:t>
            </w:r>
          </w:p>
        </w:tc>
        <w:tc>
          <w:tcPr>
            <w:tcW w:w="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5,803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2,191</w:t>
            </w:r>
          </w:p>
        </w:tc>
        <w:tc>
          <w:tcPr>
            <w:tcW w:w="8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(701)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2015</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1"/>
              </w:rPr>
              <w:t>December 31, 2014</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60"/>
              <w:spacing w:after="0" w:line="153" w:lineRule="exact"/>
              <w:rPr>
                <w:sz w:val="20"/>
                <w:szCs w:val="20"/>
                <w:color w:val="auto"/>
              </w:rPr>
            </w:pPr>
            <w:r>
              <w:rPr>
                <w:rFonts w:ascii="Arial" w:cs="Arial" w:eastAsia="Arial" w:hAnsi="Arial"/>
                <w:sz w:val="14"/>
                <w:szCs w:val="14"/>
                <w:b w:val="1"/>
                <w:bCs w:val="1"/>
                <w:color w:val="auto"/>
                <w:w w:val="93"/>
              </w:rPr>
              <w:t>Net Amounts of</w:t>
            </w:r>
          </w:p>
        </w:tc>
        <w:tc>
          <w:tcPr>
            <w:tcW w:w="40" w:type="dxa"/>
            <w:vAlign w:val="bottom"/>
          </w:tcPr>
          <w:p>
            <w:pPr>
              <w:spacing w:after="0"/>
              <w:rPr>
                <w:sz w:val="13"/>
                <w:szCs w:val="13"/>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2"/>
              </w:rPr>
              <w:t>Net Amounts of</w:t>
            </w:r>
          </w:p>
        </w:tc>
        <w:tc>
          <w:tcPr>
            <w:tcW w:w="120" w:type="dxa"/>
            <w:vAlign w:val="bottom"/>
          </w:tcPr>
          <w:p>
            <w:pPr>
              <w:spacing w:after="0"/>
              <w:rPr>
                <w:sz w:val="13"/>
                <w:szCs w:val="13"/>
                <w:color w:val="auto"/>
              </w:rPr>
            </w:pPr>
          </w:p>
        </w:tc>
        <w:tc>
          <w:tcPr>
            <w:tcW w:w="124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0"/>
              <w:spacing w:after="0" w:line="149" w:lineRule="exact"/>
              <w:rPr>
                <w:sz w:val="20"/>
                <w:szCs w:val="20"/>
                <w:color w:val="auto"/>
              </w:rPr>
            </w:pPr>
            <w:r>
              <w:rPr>
                <w:rFonts w:ascii="Arial" w:cs="Arial" w:eastAsia="Arial" w:hAnsi="Arial"/>
                <w:sz w:val="14"/>
                <w:szCs w:val="14"/>
                <w:b w:val="1"/>
                <w:bCs w:val="1"/>
                <w:color w:val="auto"/>
                <w:w w:val="92"/>
              </w:rPr>
              <w:t>Liabilities</w:t>
            </w:r>
          </w:p>
        </w:tc>
        <w:tc>
          <w:tcPr>
            <w:tcW w:w="12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4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Not Offset in the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2"/>
                <w:szCs w:val="12"/>
                <w:color w:val="auto"/>
              </w:rPr>
            </w:pPr>
          </w:p>
        </w:tc>
        <w:tc>
          <w:tcPr>
            <w:tcW w:w="12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Not Offset in the</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Liabilities by Counterparty</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00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5"/>
              </w:rPr>
              <w:t>Net Amount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2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0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5"/>
              </w:rPr>
              <w:t>Net Amount</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Balance Sheet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Counterparty A</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5,564</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5,564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1,490</w:t>
            </w:r>
          </w:p>
        </w:tc>
        <w:tc>
          <w:tcPr>
            <w:tcW w:w="800" w:type="dxa"/>
            <w:vAlign w:val="bottom"/>
            <w:tcBorders>
              <w:bottom w:val="single" w:sz="8" w:color="CCEEFF"/>
            </w:tcBorders>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Counterparty B</w:t>
            </w:r>
          </w:p>
        </w:tc>
        <w:tc>
          <w:tcPr>
            <w:tcW w:w="14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8"/>
                <w:szCs w:val="18"/>
                <w:color w:val="auto"/>
              </w:rPr>
              <w:t>239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5,803</w:t>
            </w:r>
          </w:p>
        </w:tc>
        <w:tc>
          <w:tcPr>
            <w:tcW w:w="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5,803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1,490</w:t>
            </w:r>
          </w:p>
        </w:tc>
        <w:tc>
          <w:tcPr>
            <w:tcW w:w="8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94" w:lineRule="exact"/>
        <w:rPr>
          <w:sz w:val="20"/>
          <w:szCs w:val="20"/>
          <w:color w:val="auto"/>
        </w:rPr>
      </w:pPr>
    </w:p>
    <w:p>
      <w:pPr>
        <w:jc w:val="both"/>
        <w:ind w:right="100" w:firstLine="432"/>
        <w:spacing w:after="0" w:line="286" w:lineRule="auto"/>
        <w:rPr>
          <w:sz w:val="20"/>
          <w:szCs w:val="20"/>
          <w:color w:val="auto"/>
        </w:rPr>
      </w:pPr>
      <w:r>
        <w:rPr>
          <w:rFonts w:ascii="Arial" w:cs="Arial" w:eastAsia="Arial" w:hAnsi="Arial"/>
          <w:sz w:val="17"/>
          <w:szCs w:val="17"/>
          <w:color w:val="auto"/>
        </w:rPr>
        <w:t>The Company reports certain assets and liabilities at fair value, which is defined as the price that would be received to sell an asset or paid to transfer a liability in an orderly transaction between market participants at the measurement date (exit price). The following tables summarize, by level within the fair value hierarchy, the Company's assets and liabilities at December 31 that were accounted for at fair value on a recurring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2"/>
                <w:szCs w:val="22"/>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22"/>
                <w:szCs w:val="22"/>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Risk management assets—Commodity forward contracts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5,553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5,553</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 management liabilities—Commodity forward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48,081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520,144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568,225</w:t>
            </w:r>
          </w:p>
        </w:tc>
      </w:tr>
      <w:tr>
        <w:trPr>
          <w:trHeight w:val="561"/>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3"/>
        </w:trPr>
        <w:tc>
          <w:tcPr>
            <w:tcW w:w="6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2"/>
                <w:szCs w:val="22"/>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22"/>
                <w:szCs w:val="22"/>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3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 management assets—Commodity forward contracts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3,145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Risk management liabilities—Commodity forward contracts</w:t>
            </w:r>
          </w:p>
        </w:tc>
        <w:tc>
          <w:tcPr>
            <w:tcW w:w="3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(10,108)</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15,414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15,414</w:t>
            </w:r>
          </w:p>
        </w:tc>
      </w:tr>
    </w:tbl>
    <w:p>
      <w:pPr>
        <w:spacing w:after="0" w:line="17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Level 2 measurements for the Company's commodity contracts are derived using forward curves supplied by industry recognized and unrelated third-party services. The Level 2 measurements for the Company's available-for-sale securities are derived using market-based pricing provided by unrelated third-party services.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1" w:right="25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transfers in and out of Levels 1 and 2 of the fair value hierarchy in 2015 and 2014.</w:t>
      </w:r>
    </w:p>
    <w:p>
      <w:pPr>
        <w:spacing w:after="0" w:line="17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In addition to the assets and liabilities above, the Company has other financial assets and liabilities subject to fair value measures. These financial assets and liabilities include cash and cash equivalents, accounts receivable, net, accounts payable and long-term debt, all of which are recorded at carrying value. The amounts reported in the consolidated balance sheets for cash and cash equivalents, accounts receivable, net and accounts payable approximate their fair value due to the short maturities of these instruments. The carrying and fair values of the Company's long-term debt at December 31, 2015 and 2014 are summarized in the table below. The Company's long-term debt instruments are publicly-traded. A market approach, based upon quotes from financial reporting services, is used to measure the fair value of the Company's long-term debt. Because the Company's long-term debt instruments may not be actively traded, the inputs used to measure the fair value of the Company's long-term debt are classified as Level 2 inputs within the fair value hierarchy.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89"/>
              </w:rPr>
              <w:t>2015</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2014</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center"/>
              <w:ind w:right="273"/>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3"/>
                <w:szCs w:val="13"/>
                <w:color w:val="auto"/>
              </w:rPr>
            </w:pPr>
          </w:p>
        </w:tc>
        <w:tc>
          <w:tcPr>
            <w:tcW w:w="1140" w:type="dxa"/>
            <w:vAlign w:val="bottom"/>
          </w:tcPr>
          <w:p>
            <w:pPr>
              <w:jc w:val="center"/>
              <w:ind w:right="27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3.60% senior notes due 2022</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249,226</w:t>
            </w:r>
          </w:p>
        </w:tc>
        <w:tc>
          <w:tcPr>
            <w:tcW w:w="5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244,828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248,630</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6 ½% senior notes due 2029</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117,153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116,384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 ¾% senior notes due 2032</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268,490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285,545</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6 ½% GO Zone Senior Notes Due 2035</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89,000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106,491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89,000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106,504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 ½% IKE Zone Senior Notes Due 2035</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76,741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77,784</w:t>
            </w:r>
          </w:p>
        </w:tc>
        <w:tc>
          <w:tcPr>
            <w:tcW w:w="0" w:type="dxa"/>
            <w:vAlign w:val="bottom"/>
          </w:tcPr>
          <w:p>
            <w:pPr>
              <w:spacing w:after="0"/>
              <w:rPr>
                <w:sz w:val="1"/>
                <w:szCs w:val="1"/>
                <w:color w:val="auto"/>
              </w:rPr>
            </w:pPr>
          </w:p>
        </w:tc>
      </w:tr>
      <w:tr>
        <w:trPr>
          <w:trHeight w:val="229"/>
        </w:trPr>
        <w:tc>
          <w:tcPr>
            <w:tcW w:w="5140" w:type="dxa"/>
            <w:vAlign w:val="bottom"/>
          </w:tcPr>
          <w:p>
            <w:pPr>
              <w:ind w:left="40"/>
              <w:spacing w:after="0"/>
              <w:rPr>
                <w:sz w:val="20"/>
                <w:szCs w:val="20"/>
                <w:color w:val="auto"/>
              </w:rPr>
            </w:pPr>
            <w:r>
              <w:rPr>
                <w:rFonts w:ascii="Arial" w:cs="Arial" w:eastAsia="Arial" w:hAnsi="Arial"/>
                <w:sz w:val="18"/>
                <w:szCs w:val="18"/>
                <w:color w:val="auto"/>
              </w:rPr>
              <w:t>Loan related to tax-exempt waste disposal revenue</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bonds due 2027</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10,889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10,889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10,889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10,889</w:t>
            </w:r>
          </w:p>
        </w:tc>
        <w:tc>
          <w:tcPr>
            <w:tcW w:w="0" w:type="dxa"/>
            <w:vAlign w:val="bottom"/>
          </w:tcPr>
          <w:p>
            <w:pPr>
              <w:spacing w:after="0"/>
              <w:rPr>
                <w:sz w:val="1"/>
                <w:szCs w:val="1"/>
                <w:color w:val="auto"/>
              </w:rPr>
            </w:pPr>
          </w:p>
        </w:tc>
      </w:tr>
      <w:tr>
        <w:trPr>
          <w:trHeight w:val="486"/>
        </w:trPr>
        <w:tc>
          <w:tcPr>
            <w:tcW w:w="5140" w:type="dxa"/>
            <w:vAlign w:val="bottom"/>
          </w:tcPr>
          <w:p>
            <w:pPr>
              <w:spacing w:after="0"/>
              <w:rPr>
                <w:sz w:val="20"/>
                <w:szCs w:val="20"/>
                <w:color w:val="auto"/>
              </w:rPr>
            </w:pPr>
            <w:r>
              <w:rPr>
                <w:rFonts w:ascii="Arial" w:cs="Arial" w:eastAsia="Arial" w:hAnsi="Arial"/>
                <w:sz w:val="18"/>
                <w:szCs w:val="18"/>
                <w:b w:val="1"/>
                <w:bCs w:val="1"/>
                <w:color w:val="auto"/>
              </w:rPr>
              <w:t>15. Income Taxes</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20" w:type="dxa"/>
            <w:vAlign w:val="bottom"/>
            <w:gridSpan w:val="2"/>
          </w:tcPr>
          <w:p>
            <w:pPr>
              <w:ind w:left="440"/>
              <w:spacing w:after="0"/>
              <w:rPr>
                <w:sz w:val="20"/>
                <w:szCs w:val="20"/>
                <w:color w:val="auto"/>
              </w:rPr>
            </w:pPr>
            <w:r>
              <w:rPr>
                <w:rFonts w:ascii="Arial" w:cs="Arial" w:eastAsia="Arial" w:hAnsi="Arial"/>
                <w:sz w:val="18"/>
                <w:szCs w:val="18"/>
                <w:color w:val="auto"/>
                <w:w w:val="91"/>
              </w:rPr>
              <w:t>The components of income (loss) before income taxes are as follows: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880,044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1,102,101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944,378</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83,397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963,441</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1,083,918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942,172</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gridSpan w:val="3"/>
            <w:vMerge w:val="restart"/>
          </w:tcPr>
          <w:p>
            <w:pPr>
              <w:ind w:left="440"/>
              <w:spacing w:after="0"/>
              <w:rPr>
                <w:sz w:val="20"/>
                <w:szCs w:val="20"/>
                <w:color w:val="auto"/>
              </w:rPr>
            </w:pPr>
            <w:r>
              <w:rPr>
                <w:rFonts w:ascii="Arial" w:cs="Arial" w:eastAsia="Arial" w:hAnsi="Arial"/>
                <w:sz w:val="18"/>
                <w:szCs w:val="18"/>
                <w:color w:val="auto"/>
                <w:w w:val="93"/>
              </w:rPr>
              <w:t>The Company's provision for (benefit from) income taxes consists of the following:</w:t>
            </w: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Federal</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225,617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300,610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215,903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22,249</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9,029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258,612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339,935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238,015</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Deferred</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40,950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94,471</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2,807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22,714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39,784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58,967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93,732</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provision</w:t>
            </w:r>
          </w:p>
        </w:tc>
        <w:tc>
          <w:tcPr>
            <w:tcW w:w="3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298,396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398,902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331,747</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ind w:right="654"/>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taxes computed at the statutory rate to the Company's income tax expense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income tax, at statutory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337,204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379,371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329,760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income tax provision, net of federal income tax effect</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17,403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40,012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14,364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 rate differential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Manufacturing deduction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(16,275)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tax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3,783</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298,396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398,902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331,747</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tax effects of the principal temporary differences between financial reporting and income tax reporting at December 31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18,200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Credit carryforward</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694</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62,845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1,998</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11,437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7,747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7,660</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 assets—total</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101,656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102,834</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(423,381)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(398,683)</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Turnaround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Basis difference—consolidated partnerships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(200,627)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(194,480)</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liabilities—total</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(625,475)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(595,452)</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(11,011)</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deferred tax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(503,629)</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8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classifications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Current deferred tax asset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35,439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32,437</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deferred tax liability</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(575,603)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(536,066)</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Total net deferred tax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(540,164)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(503,629)</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At December 31, 2015, the Company had foreign and state net operating loss carryforwards of approximately $267,192, which will expire in varying amounts between 2016 and 2035 and are subject to certain limitations on an annual basis. Management believes the Company will realize the benefit of a portion of the net operating loss carryforwards before they expire, but to the extent that the full benefit may not be realized, a net operating loss valuation allowance has been recorded. The valuation allowance increased by $5,334 in 2015 due to the creation of additional state and foreign net operating loss carryforwards.</w:t>
      </w:r>
    </w:p>
    <w:p>
      <w:pPr>
        <w:spacing w:after="0" w:line="134" w:lineRule="exact"/>
        <w:rPr>
          <w:sz w:val="20"/>
          <w:szCs w:val="20"/>
          <w:color w:val="auto"/>
        </w:rPr>
      </w:pPr>
    </w:p>
    <w:p>
      <w:pPr>
        <w:ind w:right="680" w:firstLine="432"/>
        <w:spacing w:after="0" w:line="342" w:lineRule="auto"/>
        <w:rPr>
          <w:sz w:val="20"/>
          <w:szCs w:val="20"/>
          <w:color w:val="auto"/>
        </w:rPr>
      </w:pPr>
      <w:r>
        <w:rPr>
          <w:rFonts w:ascii="Arial" w:cs="Arial" w:eastAsia="Arial" w:hAnsi="Arial"/>
          <w:sz w:val="16"/>
          <w:szCs w:val="16"/>
          <w:color w:val="auto"/>
        </w:rPr>
        <w:t>We do not consider the undistributed earnings of our foreign subsidiaries as of December 31, 2015 and 2014 to be permanently reinvested and, accordingly, all required income tax consequences have been considered on such income in accordance with current applicable rules.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1" w:right="25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gross unrecognized tax benefits at December 31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Reductions due to statutes of limitations expiring</w:t>
            </w:r>
          </w:p>
        </w:tc>
        <w:tc>
          <w:tcPr>
            <w:tcW w:w="1040" w:type="dxa"/>
            <w:vAlign w:val="bottom"/>
          </w:tcPr>
          <w:p>
            <w:pPr>
              <w:spacing w:after="0"/>
              <w:rPr>
                <w:sz w:val="21"/>
                <w:szCs w:val="21"/>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(2,501)</w:t>
            </w:r>
          </w:p>
        </w:tc>
      </w:tr>
      <w:tr>
        <w:trPr>
          <w:trHeight w:val="27"/>
        </w:trPr>
        <w:tc>
          <w:tcPr>
            <w:tcW w:w="83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There were no unrecognized tax benefits as of December 31, 2015 and 2014. The Company recognized gross unrecognized tax benefits of $2,501 during the year ended December 31, 2014. The effective income tax rate impact in 2014 was immaterial. The Company recognizes penalties and interest accrued related to unrecognized tax benefits in income tax expense.</w:t>
      </w:r>
    </w:p>
    <w:p>
      <w:pPr>
        <w:spacing w:after="0" w:line="12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Company files income tax returns in the U.S. federal jurisdiction, various states and foreign jurisdictions. The Company is no longer subject to examinations by tax authorities before the year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94"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The Company has unvested shares of restricted stock and restricted stock units outstanding that are considered participating securities and, therefore, computes basic and diluted earnings per share under the two-class method. Basic earnings per share for the periods are based upon the weighted average number of shares of common stock outstanding during the periods. Diluted earnings per share include the effect of certain stock options.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Westlake Chemical Corporation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646,010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678,523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610,425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participating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643,185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677,021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607,863</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following table reconciles the denominator for the basic and diluted earnings per share computations shown in the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Weighted average common shares—basic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131,823,707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133,111,230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133,224,256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Plus incremental shares from:</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Assumed exercise of options </w:t>
            </w:r>
            <w:r>
              <w:rPr>
                <w:rFonts w:ascii="Arial" w:cs="Arial" w:eastAsia="Arial" w:hAnsi="Arial"/>
                <w:sz w:val="25"/>
                <w:szCs w:val="25"/>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478,105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532,184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554,994</w:t>
            </w:r>
          </w:p>
        </w:tc>
      </w:tr>
      <w:tr>
        <w:trPr>
          <w:trHeight w:val="304"/>
        </w:trPr>
        <w:tc>
          <w:tcPr>
            <w:tcW w:w="674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color w:val="auto"/>
              </w:rPr>
              <w:t xml:space="preserve">Weighted average common shares—diluted </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132,301,812</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133,643,414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133,779,250</w:t>
            </w:r>
          </w:p>
        </w:tc>
      </w:tr>
      <w:tr>
        <w:trPr>
          <w:trHeight w:val="278"/>
        </w:trPr>
        <w:tc>
          <w:tcPr>
            <w:tcW w:w="6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rPr>
              <w:t>Earnings per common share attributable to</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7"/>
        </w:trPr>
        <w:tc>
          <w:tcPr>
            <w:tcW w:w="6740" w:type="dxa"/>
            <w:vAlign w:val="bottom"/>
          </w:tcPr>
          <w:p>
            <w:pPr>
              <w:ind w:left="160"/>
              <w:spacing w:after="0" w:line="257" w:lineRule="exact"/>
              <w:rPr>
                <w:sz w:val="20"/>
                <w:szCs w:val="20"/>
                <w:color w:val="auto"/>
              </w:rPr>
            </w:pPr>
            <w:r>
              <w:rPr>
                <w:rFonts w:ascii="Arial" w:cs="Arial" w:eastAsia="Arial" w:hAnsi="Arial"/>
                <w:sz w:val="18"/>
                <w:szCs w:val="18"/>
                <w:color w:val="auto"/>
              </w:rPr>
              <w:t xml:space="preserve">Westlake Chemical Corporation: </w:t>
            </w:r>
            <w:r>
              <w:rPr>
                <w:rFonts w:ascii="Arial" w:cs="Arial" w:eastAsia="Arial" w:hAnsi="Arial"/>
                <w:sz w:val="25"/>
                <w:szCs w:val="25"/>
                <w:color w:val="auto"/>
                <w:vertAlign w:val="superscript"/>
              </w:rPr>
              <w:t>(1)</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4.88</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4.57</w:t>
            </w:r>
          </w:p>
        </w:tc>
      </w:tr>
      <w:tr>
        <w:trPr>
          <w:trHeight w:val="264"/>
        </w:trPr>
        <w:tc>
          <w:tcPr>
            <w:tcW w:w="67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4.86</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4.55</w:t>
            </w:r>
          </w:p>
        </w:tc>
      </w:tr>
      <w:tr>
        <w:trPr>
          <w:trHeight w:val="20"/>
        </w:trPr>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760" w:hanging="412"/>
        <w:spacing w:after="0" w:line="277" w:lineRule="auto"/>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 amounts and per share data for the year ended December 31, 2013 have been restated to reflect the effect of a two-for-one stock split on March 18, 2014. See Note 9 for additional information.</w:t>
      </w:r>
    </w:p>
    <w:p>
      <w:pPr>
        <w:spacing w:after="0" w:line="116"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Excluded from the computation of diluted earnings per share for the years ended December 31, 2015, 2014 and 2013 are options to purchase 301,969, 126,091 and 119,452 shares of common stock, respectively. These options were outstanding during the periods reported but were excluded because the effect of including them would have been antidilutive.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1" w:right="25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9080" w:firstLine="8"/>
        <w:spacing w:after="0" w:line="390" w:lineRule="auto"/>
        <w:tabs>
          <w:tab w:leader="none" w:pos="27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Liabilities</w:t>
      </w:r>
    </w:p>
    <w:p>
      <w:pPr>
        <w:ind w:right="80" w:firstLine="432"/>
        <w:spacing w:after="0" w:line="264" w:lineRule="auto"/>
        <w:rPr>
          <w:sz w:val="20"/>
          <w:szCs w:val="20"/>
          <w:color w:val="auto"/>
        </w:rPr>
      </w:pPr>
      <w:r>
        <w:rPr>
          <w:rFonts w:ascii="Arial" w:cs="Arial" w:eastAsia="Arial" w:hAnsi="Arial"/>
          <w:sz w:val="18"/>
          <w:szCs w:val="18"/>
          <w:color w:val="auto"/>
        </w:rPr>
        <w:t>Accrued liabilities were $287,313 and $276,118 at December 31, 2015 and 2014, respectively. Accrued rebates and accrued incentive compensation, which are components of accrued liabilities, were $46,460 and $41,168 at December 31, 2015, respectively, and $49,900 and $37,626 at December 31, 2014, respectively. No other component of accrued liabilities was more than five percent of total current liabilities.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Liabilities</w:t>
      </w:r>
    </w:p>
    <w:p>
      <w:pPr>
        <w:spacing w:after="0" w:line="9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Other liabilities were $150,961 and $174,859 at December 31, 2015 and 2014, respectively. Non-current pension obligation, which is a component of other liabilities, was $106,250 and $136,296 at December 31, 2015 and 2014, respectively. No other component of other liabilities was more than five percent of total liabilities.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other income (expense), net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6,034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Dividend income</w:t>
            </w:r>
          </w:p>
        </w:tc>
        <w:tc>
          <w:tcPr>
            <w:tcW w:w="8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3,559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Foreign exchange currency gains (losses), net </w:t>
            </w:r>
            <w:r>
              <w:rPr>
                <w:rFonts w:ascii="Arial" w:cs="Arial" w:eastAsia="Arial" w:hAnsi="Arial"/>
                <w:sz w:val="25"/>
                <w:szCs w:val="25"/>
                <w:color w:val="auto"/>
                <w:vertAlign w:val="superscript"/>
              </w:rPr>
              <w:t>(1)</w:t>
            </w:r>
          </w:p>
        </w:tc>
        <w:tc>
          <w:tcPr>
            <w:tcW w:w="8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from equity method investments</w:t>
            </w:r>
          </w:p>
        </w:tc>
        <w:tc>
          <w:tcPr>
            <w:tcW w:w="8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6,242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5,883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4,914</w:t>
            </w:r>
          </w:p>
        </w:tc>
      </w:tr>
      <w:tr>
        <w:trPr>
          <w:trHeight w:val="27"/>
        </w:trPr>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equity method investments</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(4,925)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Gain on acquisition and related expenses, net</w:t>
            </w:r>
          </w:p>
        </w:tc>
        <w:tc>
          <w:tcPr>
            <w:tcW w:w="8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20,430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(losses) from sales of securities, net</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184</w:t>
            </w:r>
          </w:p>
        </w:tc>
      </w:tr>
      <w:tr>
        <w:trPr>
          <w:trHeight w:val="27"/>
        </w:trPr>
        <w:tc>
          <w:tcPr>
            <w:tcW w:w="67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38,270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6,790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280" w:hanging="412"/>
        <w:spacing w:after="0" w:line="277" w:lineRule="auto"/>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Aggregate foreign exchange currency gains and losses included in the consolidated statements of operations for the years ended December 31, 2015, 2014 and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230"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23495</wp:posOffset>
            </wp:positionV>
            <wp:extent cx="29584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paid, net of interest capitalized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31,946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35,336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16,426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314,186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314,745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251,599</w:t>
            </w:r>
          </w:p>
        </w:tc>
      </w:tr>
      <w:tr>
        <w:trPr>
          <w:trHeight w:val="459"/>
        </w:trPr>
        <w:tc>
          <w:tcPr>
            <w:tcW w:w="6740" w:type="dxa"/>
            <w:vAlign w:val="bottom"/>
          </w:tcPr>
          <w:p>
            <w:pPr>
              <w:spacing w:after="0"/>
              <w:rPr>
                <w:sz w:val="20"/>
                <w:szCs w:val="20"/>
                <w:color w:val="auto"/>
              </w:rPr>
            </w:pPr>
            <w:r>
              <w:rPr>
                <w:rFonts w:ascii="Arial" w:cs="Arial" w:eastAsia="Arial" w:hAnsi="Arial"/>
                <w:sz w:val="18"/>
                <w:szCs w:val="18"/>
                <w:i w:val="1"/>
                <w:iCs w:val="1"/>
                <w:color w:val="auto"/>
              </w:rPr>
              <w:t>Supplemental Noncash Investing Activities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7"/>
        </w:trPr>
        <w:tc>
          <w:tcPr>
            <w:tcW w:w="8340" w:type="dxa"/>
            <w:vAlign w:val="bottom"/>
            <w:gridSpan w:val="5"/>
          </w:tcPr>
          <w:p>
            <w:pPr>
              <w:ind w:left="440"/>
              <w:spacing w:after="0"/>
              <w:rPr>
                <w:sz w:val="20"/>
                <w:szCs w:val="20"/>
                <w:color w:val="auto"/>
              </w:rPr>
            </w:pPr>
            <w:r>
              <w:rPr>
                <w:rFonts w:ascii="Arial" w:cs="Arial" w:eastAsia="Arial" w:hAnsi="Arial"/>
                <w:sz w:val="18"/>
                <w:szCs w:val="18"/>
                <w:color w:val="auto"/>
                <w:w w:val="98"/>
              </w:rPr>
              <w:t>In conjunction with the acquisitions discussed in Note 21, liabilities assumed consist of the following:</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9"/>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assets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961,823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Fair value of investment before business combination, net of preexisting balances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paid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(736,224)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 assumed</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26,546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225,599</w:t>
            </w:r>
          </w:p>
        </w:tc>
      </w:tr>
      <w:tr>
        <w:trPr>
          <w:trHeight w:val="20"/>
        </w:trPr>
        <w:tc>
          <w:tcPr>
            <w:tcW w:w="6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2"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00"/>
          </w:cols>
          <w:pgMar w:left="240" w:top="122" w:right="259" w:bottom="1440" w:gutter="0" w:footer="0" w:header="0"/>
          <w:type w:val="continuous"/>
        </w:sectPr>
      </w:pPr>
    </w:p>
    <w:bookmarkStart w:id="87" w:name="page88"/>
    <w:bookmarkEnd w:id="8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and Affiliate Transactions</w:t>
      </w:r>
    </w:p>
    <w:p>
      <w:pPr>
        <w:spacing w:after="0" w:line="9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Company leases office space for management and administrative services from an affiliate of the Company's principal stockholder. For the years ended December 31, 2015, 2014 and 2013, the Company incurred lease payments of approximately $2,148, $2,001 and $1,614, respectively. The amount payable to this affiliate was $196 and $179 at December 31, 2015 and 2014, respectively.</w:t>
      </w:r>
    </w:p>
    <w:p>
      <w:pPr>
        <w:spacing w:after="0" w:line="127"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color w:val="auto"/>
        </w:rPr>
        <w:t>Cypress Interstate Pipeline L.L.C., a natural gas liquids pipeline joint venture company in which the Company owns a 50% equity stake, transports natural gas liquid feedstocks to the Company's Lake Charles complex through its pipeline. For the years ended December 31, 2015, 2014 and 2013, the Company incurred pipeline fees of approximately $14,110, $14,206 and $13,328, respectively, payable to this joint venture for usage of the pipeline. The amount payable to this joint venture was $991 at December 31, 2015. There were no outstanding amounts due to this joint venture at December 31, 2014.</w:t>
      </w:r>
    </w:p>
    <w:p>
      <w:pPr>
        <w:spacing w:after="0" w:line="100"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EPS Ethylene Pipeline Süd GmbH &amp; Co. KG, an ethylene pipeline company in which the Company owns a 10% equity stake, transports ethylene feedstocks to the Company's Gendorf, Germany production facility through its pipeline. For the years ended December 31, 2015 and 2014, the Company incurred pipeline fees of approximately $1,022 and $548, respectively, for usage of the pipeline. There were no outstanding amounts due to this related party at December 31, 2015. The amount payable to this related party was $12 at December 31, 2014.</w:t>
      </w:r>
    </w:p>
    <w:p>
      <w:pPr>
        <w:spacing w:after="0" w:line="11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Company owns a 15% and an 11% equity stake in InfraServ Knapsack GmbH &amp; Co. KG and InfraServ Gendorf GmbH &amp; Co. KG, respectively. The Company has service agreements with these entities, including contracts to provide electricity and technical services to certain of the Company's production facilities in Germany. For the years ended December 31, 2015 and 2014, the Company incurred charges aggregating approximately $115,961 and $55,400, respectively, for these services. The amounts payable to these related parties were $22,931 and $14,161 at December 31, 2015 and 2014, respectively.</w:t>
      </w:r>
    </w:p>
    <w:p>
      <w:pPr>
        <w:spacing w:after="0" w:line="134"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Dividends received from equity method investments were $5,610, $5,459 and $5,114 for the years ended December 31, 2015, 2014 and 2013, respectively.</w:t>
      </w:r>
    </w:p>
    <w:p>
      <w:pPr>
        <w:spacing w:after="0" w:line="116"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One of our directors serves as Chairman and Chief Executive Officer of American Air Liquide Holdings, Inc. and as a Senior Vice President of the Air Liquide Group. The Company purchased oxygen, nitrogen and utilities and leased cylinders from various affiliates of American Air Liquide Holdings, Inc. ("Air Liquide") aggregating approximately $10,345, $13,862 and $16,407 for the years ended December 31, 2015, 2014 and 2013, respectively. The amount payable to Air Liquide was $762 at December 31, 2015. There were no outstanding amounts due to Air Liquide at December 31,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Insurance Recovery</w:t>
      </w:r>
    </w:p>
    <w:p>
      <w:pPr>
        <w:spacing w:after="0" w:line="9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During the second and third quarters of 2015, the Company's production rates and operating costs at its Knapsack, Germany and Cologne, Germany facilities were negatively impacted due to an interruption of feedstock supply as a result of a fire at a third-party supplier's ethylene production facility. For the year ended December 31, 2015, the Company recognized approximately $7,809 as a partial insurance recovery related to business interruption costs, primarily for additional costs incurred to procure the necessary feedstock and other costs as a result of the fire at the third-party facility. The partial insurance recovery is included in cost of sales in the consolidated statement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Westlake Chemical Partners LP</w:t>
      </w:r>
    </w:p>
    <w:p>
      <w:pPr>
        <w:spacing w:after="0" w:line="94"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Westlake Partners is a publicly traded master limited partnership that was formed by the Company to operate, acquire and develop facilities for the processing of natural gas liquids and related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of Westlake Partners</w:t>
      </w:r>
    </w:p>
    <w:p>
      <w:pPr>
        <w:spacing w:after="0" w:line="9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On August 4, 2014, Westlake Partners completed its initial public offering of 12,937,500 common units at a price of $24.00 per unit, which included 1,687,500 units purchased by the underwriters pursuant to the exercise in full of their over-allotment option. Net proceeds to Westlake Partners from the sale of the units was approximately $286,088, net of underwriting discounts, structuring fees and offering expenses (the "Offering Costs") of approximately $24,412. At the time of the initial public offering, Westlake Partners' assets consisted of a 10.6% limited partner interest in Westlake Chemical OpCo LP ("OpCo"), as well as the general partner interest in OpCo. At the time of the initial public offering, the Company retained an 89.4% limited partner interest in OpCo, a 52.2% limited partner interest in Westlake Partners (common and subordinated units), a general partner interest in Westlake Partners and incentive distribution rights. The Company consolidates Westlake Partners</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40"/>
          </w:cols>
          <w:pgMar w:left="240" w:top="122" w:right="31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for financial reporting purposes as the Company has a controlling financial interest. The initial public offering represented the sale of 47.8% of the common units in Westlake Partners. OpCo used the net proceeds from the purchase of its limited partner interest to establish a cash reserve of approximately $55,419 for turnaround expenditures, to reimburse approximately $151,729 for capital expenditures incurred by the Company with respect to certain of the assets contributed to OpCo and to repay intercompany debt to the Company of approximately $78,940.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40"/>
              <w:spacing w:after="0"/>
              <w:rPr>
                <w:sz w:val="20"/>
                <w:szCs w:val="20"/>
                <w:color w:val="auto"/>
              </w:rPr>
            </w:pPr>
            <w:r>
              <w:rPr>
                <w:rFonts w:ascii="Arial" w:cs="Arial" w:eastAsia="Arial" w:hAnsi="Arial"/>
                <w:sz w:val="18"/>
                <w:szCs w:val="18"/>
                <w:color w:val="auto"/>
              </w:rPr>
              <w:t>The following table is a reconciliation of proceeds from the initial public offering:</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proceeds from the initial public offering</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310,500</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Less: Offering Costs</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(24,412)</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the initial public offering</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286,088</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Less: Cash retained by OpCo</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(55,419)</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distributed to the Company from the initial public offering</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230,669</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Acquisitions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Suzhou Huasu Plastics Co., Ltd.</w:t>
      </w:r>
    </w:p>
    <w:p>
      <w:pPr>
        <w:spacing w:after="0" w:line="9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On June 1, 2015, the Company acquired an additional 35.7% equity interest in Suzhou Huasu Plastics Co., Ltd. ("Huasu") from INEOS Chlor Vinyls Holdings B.V., increasing its interest in Huasu to 95.0%. Huasu is a polyvinyl chloride ("PVC") joint venture based near Shanghai, in the People's Republic of China and has a combined annual capacity of 300 million pounds of PVC resin and 145 million pounds of PVC film and sheet.</w:t>
      </w:r>
    </w:p>
    <w:p>
      <w:pPr>
        <w:spacing w:after="0" w:line="111"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Prior to the acquisition of this 35.7% interest, the Company owned a 59.3% interest in Huasu. The Company accounted for the investment using the equity method of accounting because Huasu did not meet the definition of a variable interest entity and because contractual arrangements giving certain substantive participatory rights to minority shareholders prevented the Company from exercising a controlling financial interest over Huasu. As a result of the Company obtaining control over Huasu, the Company's 59.3% interest was remeasured to fair value, resulting in a loss of $1,505, which is included in other income (expense), net in the consolidated statement of operations.</w:t>
      </w:r>
    </w:p>
    <w:p>
      <w:pPr>
        <w:spacing w:after="0" w:line="119"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The closing date purchase price of $5,518 was paid with available cash on hand. The acquisition is being accounted for under the acquisition method of accounting. The transaction resulted in a bargain purchase acquisition-date gain of $22,550 and is recognized in other income (expense), net in the consolidated statement of operations. The Company believes there are several factors that contributed to this transaction resulting in a bargain purchase acquisition-date gain, including the slowdown in the growth of, and current weakness in, the Chinese economy. The assets acquired and liabilities assumed and the results of operations of this acquired business are included in the Vinyls segment. Huasu's net sales and earnings included in the consolidated statement of operations since the acquisition date have not been presented separately as they are not material to the Company's consolidated statement of operations for the year ended December 31, 2015. The acquisition-related costs recognized in the consolidated statement of operations for the year ended December 31, 2015 are not material. The pro forma impact of this business combination has not been presented as it is not material to the Company's consolidated statements of operations for the years ended December 31, 2015 and 2014.</w:t>
      </w:r>
    </w:p>
    <w:p>
      <w:pPr>
        <w:spacing w:after="0" w:line="128"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The following table summarizes the consideration transferred and the estimated fair value of identified assets acquired and liabilities assumed at the date of acquisition. The final determination of fair value for certain assets and liabilities will be completed as soon as the information necessary to complete the analysis is obtained. These amounts will be finalized as soon as possible, but no later than one year from the acquisition 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consideration transferred—cash</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Preexisting balances between the Company and Huasu, net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(8,538)</w:t>
            </w:r>
          </w:p>
        </w:tc>
      </w:tr>
      <w:tr>
        <w:trPr>
          <w:trHeight w:val="27"/>
        </w:trPr>
        <w:tc>
          <w:tcPr>
            <w:tcW w:w="9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9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Fair value of the Company's investment in Huasu before the business combination </w:t>
            </w:r>
            <w:r>
              <w:rPr>
                <w:rFonts w:ascii="Arial" w:cs="Arial" w:eastAsia="Arial" w:hAnsi="Arial"/>
                <w:sz w:val="25"/>
                <w:szCs w:val="25"/>
                <w:color w:val="auto"/>
                <w:vertAlign w:val="superscript"/>
              </w:rPr>
              <w:t>(1)</w:t>
            </w: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18,890</w:t>
            </w:r>
          </w:p>
        </w:tc>
      </w:tr>
      <w:tr>
        <w:trPr>
          <w:trHeight w:val="270"/>
        </w:trPr>
        <w:tc>
          <w:tcPr>
            <w:tcW w:w="99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Fair value of the noncontrolling interest in Huasu </w:t>
            </w:r>
            <w:r>
              <w:rPr>
                <w:rFonts w:ascii="Arial" w:cs="Arial" w:eastAsia="Arial" w:hAnsi="Arial"/>
                <w:sz w:val="25"/>
                <w:szCs w:val="25"/>
                <w:color w:val="auto"/>
                <w:vertAlign w:val="superscript"/>
              </w:rPr>
              <w:t>(1)</w:t>
            </w: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1,597</w:t>
            </w: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17,467</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9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Preliminary allocation of consideration transferred to net assets acquired:</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Cash</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21,300</w:t>
            </w:r>
          </w:p>
        </w:tc>
      </w:tr>
      <w:tr>
        <w:trPr>
          <w:trHeight w:val="27"/>
        </w:trPr>
        <w:tc>
          <w:tcPr>
            <w:tcW w:w="9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9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Working capital, excluding inventory and cash </w:t>
            </w:r>
            <w:r>
              <w:rPr>
                <w:rFonts w:ascii="Arial" w:cs="Arial" w:eastAsia="Arial" w:hAnsi="Arial"/>
                <w:sz w:val="25"/>
                <w:szCs w:val="25"/>
                <w:color w:val="auto"/>
                <w:vertAlign w:val="superscript"/>
              </w:rPr>
              <w:t>(2)</w:t>
            </w: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17,717</w:t>
            </w:r>
          </w:p>
        </w:tc>
      </w:tr>
      <w:tr>
        <w:trPr>
          <w:trHeight w:val="27"/>
        </w:trPr>
        <w:tc>
          <w:tcPr>
            <w:tcW w:w="9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19,786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7,760</w:t>
            </w:r>
          </w:p>
        </w:tc>
      </w:tr>
      <w:tr>
        <w:trPr>
          <w:trHeight w:val="27"/>
        </w:trPr>
        <w:tc>
          <w:tcPr>
            <w:tcW w:w="9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 to banks</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(21,085)</w:t>
            </w:r>
          </w:p>
        </w:tc>
      </w:tr>
      <w:tr>
        <w:trPr>
          <w:trHeight w:val="237"/>
        </w:trPr>
        <w:tc>
          <w:tcPr>
            <w:tcW w:w="9940" w:type="dxa"/>
            <w:vAlign w:val="bottom"/>
          </w:tcPr>
          <w:p>
            <w:pPr>
              <w:ind w:left="720"/>
              <w:spacing w:after="0"/>
              <w:rPr>
                <w:sz w:val="20"/>
                <w:szCs w:val="20"/>
                <w:color w:val="auto"/>
              </w:rPr>
            </w:pPr>
            <w:r>
              <w:rPr>
                <w:rFonts w:ascii="Arial" w:cs="Arial" w:eastAsia="Arial" w:hAnsi="Arial"/>
                <w:sz w:val="18"/>
                <w:szCs w:val="18"/>
                <w:color w:val="auto"/>
              </w:rPr>
              <w:t>Total identifiable net assets</w:t>
            </w: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40,017</w:t>
            </w:r>
          </w:p>
        </w:tc>
      </w:tr>
      <w:tr>
        <w:trPr>
          <w:trHeight w:val="27"/>
        </w:trPr>
        <w:tc>
          <w:tcPr>
            <w:tcW w:w="99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Bargain purchase gain on acquisition</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22,550</w:t>
            </w:r>
          </w:p>
        </w:tc>
      </w:tr>
      <w:tr>
        <w:trPr>
          <w:trHeight w:val="20"/>
        </w:trPr>
        <w:tc>
          <w:tcPr>
            <w:tcW w:w="9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500" w:right="100" w:hanging="492"/>
        <w:spacing w:after="0" w:line="277"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fair values of the Company's 59.3% equity interest and the noncontrolling interest were estimated using internally developed, unobservable inputs (Level 3 inputs in the fair value hierarchy of fair value accounting) based on a cost approach.</w:t>
      </w:r>
    </w:p>
    <w:p>
      <w:pPr>
        <w:spacing w:after="0" w:line="8" w:lineRule="exact"/>
        <w:rPr>
          <w:rFonts w:ascii="Arial" w:cs="Arial" w:eastAsia="Arial" w:hAnsi="Arial"/>
          <w:sz w:val="18"/>
          <w:szCs w:val="18"/>
          <w:color w:val="auto"/>
        </w:rPr>
      </w:pPr>
    </w:p>
    <w:p>
      <w:pPr>
        <w:ind w:left="500" w:right="880" w:hanging="492"/>
        <w:spacing w:after="0" w:line="277"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fair value of accounts receivable acquired is $2,515, with the gross contractual amount being $3,006. The Company expects $491 to be uncollectible.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Vinnolit Holdings GmbH and Subsidiary Companies</w:t>
      </w:r>
    </w:p>
    <w:p>
      <w:pPr>
        <w:spacing w:after="0" w:line="90"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On July 31, 2014, the Company acquired all the equity interests in German-based Vinnolit Holdings GmbH and its subsidiary companies ("Vinnolit") from several entities associated with Advent International Corporation (the "Sellers"). Vinnolit is headquartered in Ismaning, Germany and is an integrated global leader in specialty PVC resins, with a combined annual capacity of 1.7 billion pounds of PVC, including specialty paste and suspension grades, 1.5 billion pounds of vinyl chloride monomer ("VCM") and 1.0 billion pounds of caustic soda. The Vinnolit acquisition included six production facilities located in Burghausen, Gendorf, Cologne, Knapsack and Schkopau in Germany and Hillhouse in the United Kingdom. The Company also acquired Vinnolit's technical centers, including a research and development facility in Gendorf and an applications laboratory in Burghausen. The Company's management believes that this strategic acquisition will enhance its strategy of integration and expansion into new markets and specialty products, in addition to growing the Company's global presence with a footprint in Europe and surrounding markets.</w:t>
      </w:r>
    </w:p>
    <w:p>
      <w:pPr>
        <w:spacing w:after="0" w:line="125" w:lineRule="exact"/>
        <w:rPr>
          <w:sz w:val="20"/>
          <w:szCs w:val="20"/>
          <w:color w:val="auto"/>
        </w:rPr>
      </w:pPr>
    </w:p>
    <w:p>
      <w:pPr>
        <w:ind w:right="800" w:firstLine="432"/>
        <w:spacing w:after="0" w:line="342" w:lineRule="auto"/>
        <w:rPr>
          <w:sz w:val="20"/>
          <w:szCs w:val="20"/>
          <w:color w:val="auto"/>
        </w:rPr>
      </w:pPr>
      <w:r>
        <w:rPr>
          <w:rFonts w:ascii="Arial" w:cs="Arial" w:eastAsia="Arial" w:hAnsi="Arial"/>
          <w:sz w:val="16"/>
          <w:szCs w:val="16"/>
          <w:color w:val="auto"/>
        </w:rPr>
        <w:t>The purchase price of $736,224 was paid with available cash on hand. The acquisition is being accounted for under the acquisition method of accounting. The assets acquired and liabilities assumed and the results of operations of this acquired business are included in the Vinyls segment.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jc w:val="both"/>
        <w:ind w:right="380" w:firstLine="432"/>
        <w:spacing w:after="0" w:line="264" w:lineRule="auto"/>
        <w:rPr>
          <w:sz w:val="20"/>
          <w:szCs w:val="20"/>
          <w:color w:val="auto"/>
        </w:rPr>
      </w:pPr>
      <w:r>
        <w:rPr>
          <w:rFonts w:ascii="Arial" w:cs="Arial" w:eastAsia="Arial" w:hAnsi="Arial"/>
          <w:sz w:val="18"/>
          <w:szCs w:val="18"/>
          <w:color w:val="auto"/>
        </w:rPr>
        <w:t>The acquired business contributed net sales and net loss of $431,407 and $3,718, respectively, to the Company for the period from July 31, 2014 to December 31, 2014. The following unaudited consolidated pro forma information presents consolidated information as if the acquisition had occurred on January 1, 2013:</w:t>
      </w:r>
    </w:p>
    <w:p>
      <w:pPr>
        <w:spacing w:after="0" w:line="119"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Pro Forma</w:t>
      </w:r>
    </w:p>
    <w:p>
      <w:pPr>
        <w:spacing w:after="0" w:line="4"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13335</wp:posOffset>
            </wp:positionV>
            <wp:extent cx="19469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6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5,152,806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4,976,998</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737,913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666,202</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Westlake Chemical Corporation</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731,420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666,202</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8"/>
                <w:szCs w:val="18"/>
                <w:color w:val="auto"/>
              </w:rPr>
              <w:t>Earnings per common share attributable to Westlake Chemical Corporation:</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64"/>
        </w:trPr>
        <w:tc>
          <w:tcPr>
            <w:tcW w:w="8360" w:type="dxa"/>
            <w:vAlign w:val="bottom"/>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The pro forma amounts above have been calculated after applying the Company's accounting policies and adjusting the Vinnolit results to reflect (1) the additional depreciation and amortization that would have been charged assuming the fair value adjustments to property, plant and equipment and intangible assets had been applied from January 1, 2013; (2) the elimination of interest expense assuming the long-term debt paid off on behalf of the Sellers as of the acquisition date had been retired as of January 1, 2013; (3) the elimination of transaction-related costs; and (4) an adjustment to tax-effect the aforementioned pro forma adjustments using an estimated aggregate statutory income tax rate of the jurisdictions to which the above adjustments relate. The pro forma amounts do not include any potential synergies, cost savings or other expected benefits of the Vinnolit acquisition, are presented for illustrative purposes only and are not necessarily indicative of results that would have been achieved if the acquisition had occurred as of January 1, 2013 or of future operating performance.</w:t>
      </w:r>
    </w:p>
    <w:p>
      <w:pPr>
        <w:spacing w:after="0" w:line="138"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For the year ended December 31, 2014, the Company recognized $13,427 of transaction-related costs. These costs are included in general and administrative expenses and other income (expense), net in the consolidated statement of operations for the year ended December 31, 2014. The transaction-related costs included in other income (expense), net pertained to losses incurred on forward foreign exchange contracts for the purchase consideration of Vinnolit.</w:t>
      </w:r>
    </w:p>
    <w:p>
      <w:pPr>
        <w:spacing w:after="0" w:line="13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following table summarizes the purchase consideration transferred and the fair value of identified assets acquired and liabilities assumed at the date of acquisition. As the fair value of the net assets acquired equals consideration paid, no goodwill was recorded.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of consideration transferred: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0"/>
              <w:spacing w:after="0"/>
              <w:rPr>
                <w:sz w:val="20"/>
                <w:szCs w:val="20"/>
                <w:color w:val="auto"/>
              </w:rPr>
            </w:pPr>
            <w:r>
              <w:rPr>
                <w:rFonts w:ascii="Arial" w:cs="Arial" w:eastAsia="Arial" w:hAnsi="Arial"/>
                <w:sz w:val="18"/>
                <w:szCs w:val="18"/>
                <w:color w:val="auto"/>
              </w:rPr>
              <w:t>Cash paid to Sellers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309,619</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9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deposited in escrow </w:t>
            </w:r>
            <w:r>
              <w:rPr>
                <w:rFonts w:ascii="Arial" w:cs="Arial" w:eastAsia="Arial" w:hAnsi="Arial"/>
                <w:sz w:val="25"/>
                <w:szCs w:val="25"/>
                <w:color w:val="auto"/>
                <w:vertAlign w:val="superscript"/>
              </w:rPr>
              <w:t>(1)</w:t>
            </w: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13,390</w:t>
            </w:r>
          </w:p>
        </w:tc>
      </w:tr>
      <w:tr>
        <w:trPr>
          <w:trHeight w:val="270"/>
        </w:trPr>
        <w:tc>
          <w:tcPr>
            <w:tcW w:w="99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Retirement of long-term debt as of July 31, 2014, on behalf of the Sellers </w:t>
            </w:r>
            <w:r>
              <w:rPr>
                <w:rFonts w:ascii="Arial" w:cs="Arial" w:eastAsia="Arial" w:hAnsi="Arial"/>
                <w:sz w:val="25"/>
                <w:szCs w:val="25"/>
                <w:color w:val="auto"/>
                <w:vertAlign w:val="superscript"/>
              </w:rPr>
              <w:t>(2)</w:t>
            </w: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413,215</w:t>
            </w:r>
          </w:p>
        </w:tc>
      </w:tr>
      <w:tr>
        <w:trPr>
          <w:trHeight w:val="257"/>
        </w:trPr>
        <w:tc>
          <w:tcPr>
            <w:tcW w:w="9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purchase consideration</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736,224</w:t>
            </w:r>
          </w:p>
        </w:tc>
      </w:tr>
      <w:tr>
        <w:trPr>
          <w:trHeight w:val="20"/>
        </w:trPr>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9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Allocation of consideration transferred to net assets acquired:</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Cash</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125,137</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9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Working capital, excluding inventory and cash </w:t>
            </w:r>
            <w:r>
              <w:rPr>
                <w:rFonts w:ascii="Arial" w:cs="Arial" w:eastAsia="Arial" w:hAnsi="Arial"/>
                <w:sz w:val="25"/>
                <w:szCs w:val="25"/>
                <w:color w:val="auto"/>
                <w:vertAlign w:val="superscript"/>
              </w:rPr>
              <w:t>(3)</w:t>
            </w: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15,373</w:t>
            </w:r>
          </w:p>
        </w:tc>
      </w:tr>
      <w:tr>
        <w:trPr>
          <w:trHeight w:val="270"/>
        </w:trPr>
        <w:tc>
          <w:tcPr>
            <w:tcW w:w="99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Inventories </w:t>
            </w:r>
            <w:r>
              <w:rPr>
                <w:rFonts w:ascii="Arial" w:cs="Arial" w:eastAsia="Arial" w:hAnsi="Arial"/>
                <w:sz w:val="25"/>
                <w:szCs w:val="25"/>
                <w:color w:val="auto"/>
                <w:vertAlign w:val="superscript"/>
              </w:rPr>
              <w:t>(4)</w:t>
            </w: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114,961</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469,484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51,552</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9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5"/>
                <w:szCs w:val="25"/>
                <w:color w:val="auto"/>
                <w:vertAlign w:val="superscript"/>
              </w:rPr>
              <w:t>(5)</w:t>
            </w: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76,828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Trademarks and trade name (weighted average life of 20 years)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40,170</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Developed technologies (weighted average life of 20 years)</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31,600</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intangibles (weighted average life of 9.4 years)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Deferred income tax asset—current</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7,909</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asset—non-current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27,387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Pension obligation</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(117,970)</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(10,723)</w:t>
            </w:r>
          </w:p>
        </w:tc>
      </w:tr>
      <w:tr>
        <w:trPr>
          <w:trHeight w:val="270"/>
        </w:trPr>
        <w:tc>
          <w:tcPr>
            <w:tcW w:w="99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Power purchase agreement liability </w:t>
            </w:r>
            <w:r>
              <w:rPr>
                <w:rFonts w:ascii="Arial" w:cs="Arial" w:eastAsia="Arial" w:hAnsi="Arial"/>
                <w:sz w:val="25"/>
                <w:szCs w:val="25"/>
                <w:color w:val="auto"/>
                <w:vertAlign w:val="superscript"/>
              </w:rPr>
              <w:t>(6)</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(10,826)</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liability—current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Deferred income tax liability—non-current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(79,235)</w:t>
            </w:r>
          </w:p>
        </w:tc>
      </w:tr>
      <w:tr>
        <w:trPr>
          <w:trHeight w:val="27"/>
        </w:trPr>
        <w:tc>
          <w:tcPr>
            <w:tcW w:w="9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identifiable net assets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736,224</w:t>
            </w:r>
          </w:p>
        </w:tc>
      </w:tr>
      <w:tr>
        <w:trPr>
          <w:trHeight w:val="270"/>
        </w:trPr>
        <w:tc>
          <w:tcPr>
            <w:tcW w:w="99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25"/>
                <w:szCs w:val="25"/>
                <w:color w:val="auto"/>
                <w:vertAlign w:val="superscript"/>
              </w:rPr>
              <w:t>(7)</w:t>
            </w: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9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Consideration transferred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736,224</w:t>
            </w:r>
          </w:p>
        </w:tc>
      </w:tr>
      <w:tr>
        <w:trPr>
          <w:trHeight w:val="20"/>
        </w:trPr>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500" w:right="80" w:hanging="492"/>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None of the cash held in escrow is considered contingent consideration as it is expected to be released to the Sellers pending the Sellers' satisfaction of general representations and warranties made in connection with the execution of the purchase agreement.</w:t>
      </w:r>
    </w:p>
    <w:p>
      <w:pPr>
        <w:spacing w:after="0" w:line="8" w:lineRule="exact"/>
        <w:rPr>
          <w:rFonts w:ascii="Arial" w:cs="Arial" w:eastAsia="Arial" w:hAnsi="Arial"/>
          <w:sz w:val="18"/>
          <w:szCs w:val="18"/>
          <w:color w:val="auto"/>
        </w:rPr>
      </w:pPr>
    </w:p>
    <w:p>
      <w:pPr>
        <w:ind w:left="500" w:right="60" w:hanging="492"/>
        <w:spacing w:after="0" w:line="298"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Vinnolit's long-term debt paid on behalf of the Sellers was not legally assumed by Westlake in the acquisition and the retirement was a condition of the consummation of the purchase agreement. Therefore, the retirement has been included in the total purchase consideration.</w:t>
      </w:r>
    </w:p>
    <w:p>
      <w:pPr>
        <w:ind w:left="500" w:right="380" w:hanging="492"/>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fair value of accounts receivable acquired is $181,890, with the gross contractual amount being $183,833. The Company expects $1,943 to be uncollectable.</w:t>
      </w:r>
    </w:p>
    <w:p>
      <w:pPr>
        <w:spacing w:after="0" w:line="8" w:lineRule="exact"/>
        <w:rPr>
          <w:rFonts w:ascii="Arial" w:cs="Arial" w:eastAsia="Arial" w:hAnsi="Arial"/>
          <w:sz w:val="18"/>
          <w:szCs w:val="18"/>
          <w:color w:val="auto"/>
        </w:rPr>
      </w:pPr>
    </w:p>
    <w:p>
      <w:pPr>
        <w:ind w:left="500" w:right="80" w:hanging="492"/>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adjustment of approximately $16,900 was recorded to reflect Vinnolit's inventories at fair value and increased cost of sales by the same amount for the year ended December 31, 2014.</w:t>
      </w:r>
    </w:p>
    <w:p>
      <w:pPr>
        <w:spacing w:after="0" w:line="8"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Included in other assets was a loan acquired that was repaid prior to December 31, 2014.</w:t>
      </w:r>
    </w:p>
    <w:p>
      <w:pPr>
        <w:spacing w:after="0" w:line="63" w:lineRule="exact"/>
        <w:rPr>
          <w:rFonts w:ascii="Arial" w:cs="Arial" w:eastAsia="Arial" w:hAnsi="Arial"/>
          <w:sz w:val="18"/>
          <w:szCs w:val="18"/>
          <w:color w:val="auto"/>
        </w:rPr>
      </w:pPr>
    </w:p>
    <w:p>
      <w:pPr>
        <w:ind w:left="500" w:right="580" w:hanging="492"/>
        <w:spacing w:after="0" w:line="298"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liability arising from the unfavorable forward purchase contracts for the purchase of power was recognized at fair value. This liability will be amortized over a period of approximately three years, being the weighted-average life of the forward purchase contracts.</w:t>
      </w: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the fair value of the net assets acquired equals consideration paid, no goodwill was recorded.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Commitments and Contingencies</w:t>
      </w:r>
    </w:p>
    <w:p>
      <w:pPr>
        <w:spacing w:after="0" w:line="9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Company is subject to environmental laws and regulations that can impose civil and criminal sanctions and that may require it to mitigate the effects of contamination caused by the release or disposal of hazardous substances into the environment. Under one law, the U.S. Comprehensive Environmental Response, Compensation, and Liability Act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several of the Company's production sites have a history of industrial use, it is impossible to predict precisely what effect these legal requirements will have on the Company.</w:t>
      </w:r>
    </w:p>
    <w:p>
      <w:pPr>
        <w:spacing w:after="0" w:line="139"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i w:val="1"/>
          <w:iCs w:val="1"/>
          <w:color w:val="auto"/>
        </w:rPr>
        <w:t xml:space="preserve">European Regulations. </w:t>
      </w:r>
      <w:r>
        <w:rPr>
          <w:rFonts w:ascii="Arial" w:cs="Arial" w:eastAsia="Arial" w:hAnsi="Arial"/>
          <w:sz w:val="18"/>
          <w:szCs w:val="18"/>
          <w:color w:val="auto"/>
        </w:rPr>
        <w:t>Under the Industrial Emission Directive ("IED"), European Union member state governments are expected to adopt rules and</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 environmental permitting programs relating to air, water and waste for industrial facilities. In this context, concepts such as BAT ("best available technique") are being explored. Future implementation of these concepts may result in technical modifications in the Company's European facilities. In addition, under the Environmental Liability Directive, European Union member states can require the remediation of soil and groundwater contamination in certain circumstances, under the "polluter pays principle." The Company is unable to predict the impact these requirements and concepts may have on its future costs of compliance.</w:t>
      </w:r>
    </w:p>
    <w:p>
      <w:pPr>
        <w:spacing w:after="0" w:line="139"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i w:val="1"/>
          <w:iCs w:val="1"/>
          <w:color w:val="auto"/>
        </w:rPr>
        <w:t xml:space="preserve">Contract Disputes with Goodrich and PolyOne. </w:t>
      </w:r>
      <w:r>
        <w:rPr>
          <w:rFonts w:ascii="Arial" w:cs="Arial" w:eastAsia="Arial" w:hAnsi="Arial"/>
          <w:sz w:val="16"/>
          <w:szCs w:val="16"/>
          <w:color w:val="auto"/>
        </w:rPr>
        <w:t>In connection with the 1990 and 1997 acquisitions of the Goodrich Corporation ("Goodrich") 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facility in Calvert City, Goodrich agreed to indemnify the Company for any liabilities related to preexisting contamination at the site. For its part, the Company agreed to indemnify Goodrich for post-closing contamination caused by the Company's operations. The soil and groundwater at the site, which does not include the Company's nearby PVC facility, had been extensively contaminated under Goodrich's operations. In 1993, Goodrich spun off the predecessor of PolyOne Corporation ("PolyOne"), and that predecessor assumed Goodrich's indemnification obligations relating to preexisting contamination.</w:t>
      </w:r>
    </w:p>
    <w:p>
      <w:pPr>
        <w:spacing w:after="0" w:line="104"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 2003, litigation arose among the Company, Goodrich and PolyOne with respect to the allocation of the cost of remediating contamination at the site. The parties settled this litigation in December 2007 and the case was dismissed. In the settlement the parties agreed that, among other things: (1) PolyOne would pay 100% of the costs (with specified exceptions), net of recoveries or credits from third parties, incurred with respect to environmental issues at the Calvert City site from August 1, 2007 forward; (2) either the Company or PolyOne might, from time to time in the future (but not more than once every five years), institute an arbitration proceeding to adjust that percentage; and (3) the Company and PolyOne would negotiate a new environmental remediation utilities and services agreement to cover the Company's provision to, or on behalf of, PolyOne of certain environmental remediation services at the site. The current environmental remediation activities at the Calvert City site do not have a specified termination date but are expected to last for the foreseeable future. The costs incurred by the Company that have been invoiced to PolyOne to provide the environmental remediation services were $2,210, $2,805 and $3,284 for the years ended December 31, 2015, 2014 and 2013, respectively. By letter dated March 16, 2010, PolyOne notified the Company that it was initiating an arbitration proceeding under the settlement agreement. In this proceeding, PolyOne sought to readjust the percentage allocation of costs and to recover approximately $1,400 from the Company in reimbursement of previously paid remediation costs. In December 2015, the arbitration panel dismissed the proceeding with prejudice. In a separate proceeding in Ohio state court, the Company is seeking certain insurance documents from PolyOne.</w:t>
      </w:r>
    </w:p>
    <w:p>
      <w:pPr>
        <w:spacing w:after="0" w:line="115"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i w:val="1"/>
          <w:iCs w:val="1"/>
          <w:color w:val="auto"/>
        </w:rPr>
        <w:t xml:space="preserve">State Administrative Proceedings. </w:t>
      </w:r>
      <w:r>
        <w:rPr>
          <w:rFonts w:ascii="Arial" w:cs="Arial" w:eastAsia="Arial" w:hAnsi="Arial"/>
          <w:sz w:val="16"/>
          <w:szCs w:val="16"/>
          <w:color w:val="auto"/>
        </w:rPr>
        <w:t>There are several administrative proceedings in Kentucky involving the Company, Goodrich and PolyOne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manufacturing site in Calvert City. In 2003, the Kentucky Environmental and Public Protection Cabinet (the "Cabinet") re-issued Goodrich's Resource Conservation and Recovery Act ("RCRA") permit which requires Goodrich to remediate contamination at the Calvert City manufacturing site. Both Goodrich and PolyOne challenged various terms of the permit in an attempt to shift Goodrich's clean-up obligations under the permit to the Company. The Company intervened in the proceedings. The Cabinet has suspended all corrective action under the RCRA permit in deference to a remedial investigation and feasibility study ("RIFS") being conducted, under the auspices of the U.S. Environmental Protection Agency ("EPA"), pursuant to an Administrative Settlement Agreement ("AOC"), which became effective on December 9, 2009. See "Federal Administrative Proceedings" below. The proceedings have been postponed. Periodic status conferences will be held to evaluate whether additional proceedings will be required.</w:t>
      </w:r>
    </w:p>
    <w:p>
      <w:pPr>
        <w:spacing w:after="0" w:line="112"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i w:val="1"/>
          <w:iCs w:val="1"/>
          <w:color w:val="auto"/>
        </w:rPr>
        <w:t xml:space="preserve">Federal Administrative Proceedings. </w:t>
      </w:r>
      <w:r>
        <w:rPr>
          <w:rFonts w:ascii="Arial" w:cs="Arial" w:eastAsia="Arial" w:hAnsi="Arial"/>
          <w:sz w:val="16"/>
          <w:szCs w:val="16"/>
          <w:color w:val="auto"/>
        </w:rPr>
        <w:t>In May 2009, the Cabinet sent a letter to the EPA requesting the EPA's assistance in addressing contamination at</w:t>
      </w:r>
      <w:r>
        <w:rPr>
          <w:rFonts w:ascii="Arial" w:cs="Arial" w:eastAsia="Arial" w:hAnsi="Arial"/>
          <w:sz w:val="16"/>
          <w:szCs w:val="16"/>
          <w:i w:val="1"/>
          <w:iCs w:val="1"/>
          <w:color w:val="auto"/>
        </w:rPr>
        <w:t xml:space="preserve"> </w:t>
      </w:r>
      <w:r>
        <w:rPr>
          <w:rFonts w:ascii="Arial" w:cs="Arial" w:eastAsia="Arial" w:hAnsi="Arial"/>
          <w:sz w:val="16"/>
          <w:szCs w:val="16"/>
          <w:color w:val="auto"/>
        </w:rPr>
        <w:t>the Calvert City site under CERCLA. In its response to the Cabinet also in May 2009, the EPA stated that it concurred with the Cabinet's request and would incorporate work previously conducted under the Cabinet's RCRA authority into the EPA's cleanup efforts under CERCLA. Since 1983, the EPA has been addressing contamination at an abandoned landfill adjacent to the Company's plant which had been operated by Goodrich and which was being remediated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21" w:right="25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pursuant to CERCLA. The EPA has directed Goodrich and PolyOne to conduct additional investigation activities at the landfill and at the Company's plant. In June 2009, the EPA notified the Company that the Company may have potential liability under section 107(a) of CERCLA at its plant site. Liability under section 107(a) of CERCLA is strict and joint and several. The EPA also identified Goodrich and PolyOne, among others, as potentially responsible parties at the plant site. The Company negotiated, in conjunction with the other potentially responsible parties, an AOC and an order to conduct a RIFS. On July 12, 2013, the parties submitted separate draft RIFS reports to the EPA. The EPA has hired a contractor to complete the remedial investigation report.</w:t>
      </w:r>
    </w:p>
    <w:p>
      <w:pPr>
        <w:spacing w:after="0" w:line="104"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i w:val="1"/>
          <w:iCs w:val="1"/>
          <w:color w:val="auto"/>
        </w:rPr>
        <w:t>Monetary Relief</w:t>
      </w:r>
      <w:r>
        <w:rPr>
          <w:rFonts w:ascii="Arial" w:cs="Arial" w:eastAsia="Arial" w:hAnsi="Arial"/>
          <w:sz w:val="17"/>
          <w:szCs w:val="17"/>
          <w:color w:val="auto"/>
        </w:rPr>
        <w:t>. Except as noted above with respect to the settlement of the contract litigation among the Company, Goodrich and PolyOne, none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court, the Cabinet nor the EPA has established any allocation of the costs of remediation among the various parties that are involved in the judicial and administrative proceedings discussed above. At this time, the Company is not able to estimate the loss or reasonable possible loss, if any, on the Company's financial statements that could result from the resolution of these proceedings. Any cash expenditures that the Company might incur in the future with respect to the remediation of contamination at the site would likely be spread out over an extended period. As a result, the Company believes it is unlikely that any remediation costs allocable to it will be material in terms of expenditures made in any individual reporting period.</w:t>
      </w:r>
    </w:p>
    <w:p>
      <w:pPr>
        <w:spacing w:after="0" w:line="12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i w:val="1"/>
          <w:iCs w:val="1"/>
          <w:color w:val="auto"/>
        </w:rPr>
        <w:t>Potential Flare Modifications</w:t>
      </w:r>
      <w:r>
        <w:rPr>
          <w:rFonts w:ascii="Arial" w:cs="Arial" w:eastAsia="Arial" w:hAnsi="Arial"/>
          <w:sz w:val="17"/>
          <w:szCs w:val="17"/>
          <w:color w:val="auto"/>
        </w:rPr>
        <w:t>. For several years, the EPA has been conducting an enforcement initiative against petroleum refineries and petrochemical</w:t>
      </w:r>
      <w:r>
        <w:rPr>
          <w:rFonts w:ascii="Arial" w:cs="Arial" w:eastAsia="Arial" w:hAnsi="Arial"/>
          <w:sz w:val="17"/>
          <w:szCs w:val="17"/>
          <w:i w:val="1"/>
          <w:iCs w:val="1"/>
          <w:color w:val="auto"/>
        </w:rPr>
        <w:t xml:space="preserve"> </w:t>
      </w:r>
      <w:r>
        <w:rPr>
          <w:rFonts w:ascii="Arial" w:cs="Arial" w:eastAsia="Arial" w:hAnsi="Arial"/>
          <w:sz w:val="17"/>
          <w:szCs w:val="17"/>
          <w:color w:val="auto"/>
        </w:rPr>
        <w:t>plants with respect to emissions from flares. A number of companies have entered into consent agreements with the EPA requiring both modifications to reduce flare emissions and the installation of additional equipment to better track flare operations and emissions. On April 21, 2014, the Company received a Clean Air Act Section 114 Information Request from the EPA which sought information regarding flares at the Calvert City and Lake Charles facilities. The EPA has informed the Company that the information provided leads the EPA to believe that some of the flares are out of compliance with applicable standards. The EPA has demanded that the Company conduct additional flare sampling and provide supplemental information. The Company is currently in negotiations with the EPA regarding these demands. The EPA has indicated that it is seeking a consent decree that would obligate the Company to take corrective actions relating to the alleged noncompliance. The Company has not agreed that any flares are out of compliance or that any corrective actions are warranted. Depending on the outcome of the Company's negotiations with the EPA, additional controls on emissions from its flares may be required and these could result in increased capital and operating costs.</w:t>
      </w:r>
    </w:p>
    <w:p>
      <w:pPr>
        <w:spacing w:after="0" w:line="12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 xml:space="preserve">Louisiana Notice of Violations. </w:t>
      </w:r>
      <w:r>
        <w:rPr>
          <w:rFonts w:ascii="Arial" w:cs="Arial" w:eastAsia="Arial" w:hAnsi="Arial"/>
          <w:sz w:val="18"/>
          <w:szCs w:val="18"/>
          <w:color w:val="auto"/>
        </w:rPr>
        <w:t>The Louisiana Department of Environmental Quality ("LDEQ") has issued notices of violations ("NOVs")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assets for various air compliance issues. The Company is working with LDEQ to settle these claims, and a global settlement of all claims is being discussed. The Company has reached a verbal agreement with the LDEQ to settle certain of the NOVs in two separate settlements for a combined $192 in civil penalties. The Company does not believe that any settlements for the remaining NOVs will have a material adverse effect on the Company's financial condition, results of operations or cash flows.</w:t>
      </w:r>
    </w:p>
    <w:p>
      <w:pPr>
        <w:spacing w:after="0" w:line="134"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 addition to the matters described above, the Company is involved in various legal proceedings incidental to the conduct of its business. The Company does not believe that any of these legal proceedings will have a material adverse effect on its financial condition, results of operations or cash flows.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Company is obligated under various long-term and short-term noncancelable operating leases, primarily related to rail car leases and land. Several of the leases provide for renewal terms and, in certain leases, purchase options. At December 31, 2015, future minimum lease commitments for operating lease obligations and capital lease obligations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Operating</w:t>
            </w:r>
          </w:p>
        </w:tc>
        <w:tc>
          <w:tcPr>
            <w:tcW w:w="320" w:type="dxa"/>
            <w:vAlign w:val="bottom"/>
          </w:tcPr>
          <w:p>
            <w:pPr>
              <w:spacing w:after="0"/>
              <w:rPr>
                <w:sz w:val="14"/>
                <w:szCs w:val="14"/>
                <w:color w:val="auto"/>
              </w:rPr>
            </w:pPr>
          </w:p>
        </w:tc>
        <w:tc>
          <w:tcPr>
            <w:tcW w:w="1160" w:type="dxa"/>
            <w:vAlign w:val="bottom"/>
          </w:tcPr>
          <w:p>
            <w:pPr>
              <w:jc w:val="right"/>
              <w:ind w:right="433"/>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92"/>
        </w:trPr>
        <w:tc>
          <w:tcPr>
            <w:tcW w:w="8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Leases</w:t>
            </w:r>
          </w:p>
        </w:tc>
        <w:tc>
          <w:tcPr>
            <w:tcW w:w="320" w:type="dxa"/>
            <w:vAlign w:val="bottom"/>
          </w:tcPr>
          <w:p>
            <w:pPr>
              <w:spacing w:after="0"/>
              <w:rPr>
                <w:sz w:val="16"/>
                <w:szCs w:val="16"/>
                <w:color w:val="auto"/>
              </w:rPr>
            </w:pPr>
          </w:p>
        </w:tc>
        <w:tc>
          <w:tcPr>
            <w:tcW w:w="1160" w:type="dxa"/>
            <w:vAlign w:val="bottom"/>
          </w:tcPr>
          <w:p>
            <w:pPr>
              <w:jc w:val="right"/>
              <w:ind w:right="453"/>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50"/>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42,293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35,119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29,164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24,124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582,327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756,227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380"/>
              <w:spacing w:after="0"/>
              <w:rPr>
                <w:sz w:val="20"/>
                <w:szCs w:val="20"/>
                <w:color w:val="auto"/>
              </w:rPr>
            </w:pPr>
            <w:r>
              <w:rPr>
                <w:rFonts w:ascii="Arial" w:cs="Arial" w:eastAsia="Arial" w:hAnsi="Arial"/>
                <w:sz w:val="18"/>
                <w:szCs w:val="18"/>
                <w:color w:val="auto"/>
              </w:rPr>
              <w:t>Less: Imputed interest costs</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line="20" w:lineRule="exact"/>
              <w:rPr>
                <w:sz w:val="1"/>
                <w:szCs w:val="1"/>
                <w:color w:val="auto"/>
              </w:rPr>
            </w:pPr>
          </w:p>
        </w:tc>
      </w:tr>
      <w:tr>
        <w:trPr>
          <w:trHeight w:val="230"/>
        </w:trPr>
        <w:tc>
          <w:tcPr>
            <w:tcW w:w="83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net minimum lease payments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Operating lease rental expense was approximately $69,455, $56,014 and $45,361 for the years ended December 31, 2015, 2014 and 2013, respectively.</w:t>
      </w:r>
    </w:p>
    <w:p>
      <w:pPr>
        <w:spacing w:after="0" w:line="194"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The Company has various unconditional purchase obligations, primarily to purchase goods and services, including commitments to purchase various utilities, feedstock, nitrogen, oxygen, product storage and pipeline usage. Unrecorded unconditional purchase obligations for the next five years are as follows: $184,581, $194,434, $176,230, $149,194 and $141,352 in 2016, 2017, 2018, 2019 and 2020, respectively.</w:t>
      </w:r>
    </w:p>
    <w:p>
      <w:pPr>
        <w:spacing w:after="0" w:line="189" w:lineRule="exact"/>
        <w:rPr>
          <w:sz w:val="20"/>
          <w:szCs w:val="20"/>
          <w:color w:val="auto"/>
        </w:rPr>
      </w:pPr>
    </w:p>
    <w:p>
      <w:pPr>
        <w:ind w:right="8200" w:firstLine="8"/>
        <w:spacing w:after="0" w:line="346" w:lineRule="auto"/>
        <w:tabs>
          <w:tab w:leader="none" w:pos="27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and Geographic Information </w:t>
      </w:r>
      <w:r>
        <w:rPr>
          <w:rFonts w:ascii="Arial" w:cs="Arial" w:eastAsia="Arial" w:hAnsi="Arial"/>
          <w:sz w:val="18"/>
          <w:szCs w:val="18"/>
          <w:b w:val="1"/>
          <w:bCs w:val="1"/>
          <w:i w:val="1"/>
          <w:iCs w:val="1"/>
          <w:color w:val="auto"/>
        </w:rPr>
        <w:t>Segment Information</w:t>
      </w:r>
    </w:p>
    <w:p>
      <w:pPr>
        <w:spacing w:after="0" w:line="1"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The Company operates in two principal operating segments: Olefins and Vinyls. These segments are strategic business units that offer a variety of different products. The Company manages each segment separately as each business requires different technology and marketing strategies.</w:t>
      </w:r>
    </w:p>
    <w:p>
      <w:pPr>
        <w:spacing w:after="0" w:line="70"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The Company's Olefins segment manufactures and markets polyethylene, styrene monomer and various ethylene co-products. The Company's ethylene production is used in the Company's polyethylene, styrene and vinyl chloride monomer ("VCM") operations. In addition, the Company sells ethylene and ethylene co-products, primarily propylene, crude butadiene, pyrolysis gasoline and hydrogen, to external customers.</w:t>
      </w:r>
    </w:p>
    <w:p>
      <w:pPr>
        <w:spacing w:after="0" w:line="11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The majority of sales in the Company's Olefins business are made under long-term agreements where contract volumes are established within a range (typically, more than one year). Earlier terminations may occur if the parties fail to agree on price and deliveries are suspended for a period of several months. In most cases, these contracts also contemplate extension of the term unless specifically terminated by one of the parties. No single customer accounted for more than 10% of sales in the Olefins segment for the years ended December 31, 2015, 2014 or 2013.</w:t>
      </w:r>
    </w:p>
    <w:p>
      <w:pPr>
        <w:spacing w:after="0" w:line="11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Company's Vinyls segment manufactures and markets PVC, VCM, EDC, chlorine, caustic soda and ethylene. The Company also manufactures and sells products fabricated from PVC that the Company produces, including pipe, fittings, profiles, foundation building products, fence and deck components, window and door components and film and sheet products. The Company's main North American chemical manufacturing facilities are located in Calvert City and Geismar, Louisiana. The Company also has five manufacturing sites in Germany, one manufacturing site in the United Kingdom and one manufacturing site in the People's Republic of China.</w:t>
      </w:r>
    </w:p>
    <w:p>
      <w:pPr>
        <w:spacing w:after="0" w:line="134" w:lineRule="exact"/>
        <w:rPr>
          <w:sz w:val="20"/>
          <w:szCs w:val="20"/>
          <w:color w:val="auto"/>
        </w:rPr>
      </w:pPr>
    </w:p>
    <w:p>
      <w:pPr>
        <w:jc w:val="both"/>
        <w:ind w:right="40" w:firstLine="432"/>
        <w:spacing w:after="0" w:line="342" w:lineRule="auto"/>
        <w:rPr>
          <w:sz w:val="20"/>
          <w:szCs w:val="20"/>
          <w:color w:val="auto"/>
        </w:rPr>
      </w:pPr>
      <w:r>
        <w:rPr>
          <w:rFonts w:ascii="Arial" w:cs="Arial" w:eastAsia="Arial" w:hAnsi="Arial"/>
          <w:sz w:val="16"/>
          <w:szCs w:val="16"/>
          <w:color w:val="auto"/>
        </w:rPr>
        <w:t>As of December 31, 2015, the Company owned 11 building products plants. The Company uses its chlorine, VCM and PVC production to manufacture its building products. No single customer accounted for more than 10% of sales in the Vinyls segment for the years ended December 31, 2015, 2014 or 2013.</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accounting policies of the individual segments are the same as those described in Note 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122" w:right="25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external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Olefins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Polyethylene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1,650,964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1,922,535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1,750,292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Styrene, feedstock and 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609,149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801,155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803,377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olefins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2,260,113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2,723,690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2,553,669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Vinyls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PVC, caustic soda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1,718,359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1,203,332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800,658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Building products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484,864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488,328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405,157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vinyls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2,203,223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1,691,660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1,205,815</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4,463,336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4,415,350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3,759,484</w:t>
            </w: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Intersegment sales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Olefins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106,861</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146,539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320,909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Vinyls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1,502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108,354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147,924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322,411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Olefins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747,436</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1,013,825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833,249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Vinyls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254,452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142,740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154,684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(34,469)</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959,827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1,123,991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953,464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Olefins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110,684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106,244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102,938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Vinyls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134,546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101,666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54,371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499</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245,757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208,486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157,808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Olefins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4,656</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6,102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7,410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Vinyls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25,074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1,238</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38,270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6,790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Provision for (benefit from)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Olefins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242,516</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354,159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288,214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Vinyls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48,296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(4,763)</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298,396</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398,902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331,747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Olefins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304,873</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188,729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145,542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Vinyls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176,582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237,992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531,939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9,971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1,741</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491,426</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431,104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679,222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987"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00"/>
          </w:cols>
          <w:pgMar w:left="240" w:top="121" w:right="259" w:bottom="987" w:gutter="0" w:footer="0" w:header="0"/>
          <w:type w:val="continuous"/>
        </w:sectPr>
      </w:pPr>
    </w:p>
    <w:bookmarkStart w:id="96" w:name="page97"/>
    <w:bookmarkEnd w:id="9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December 31, 2015</w:t>
            </w:r>
          </w:p>
        </w:tc>
        <w:tc>
          <w:tcPr>
            <w:tcW w:w="140" w:type="dxa"/>
            <w:vAlign w:val="bottom"/>
          </w:tcPr>
          <w:p>
            <w:pPr>
              <w:spacing w:after="0"/>
              <w:rPr>
                <w:sz w:val="16"/>
                <w:szCs w:val="16"/>
                <w:color w:val="auto"/>
              </w:rPr>
            </w:pPr>
          </w:p>
        </w:tc>
        <w:tc>
          <w:tcPr>
            <w:tcW w:w="1340" w:type="dxa"/>
            <w:vAlign w:val="bottom"/>
          </w:tcPr>
          <w:p>
            <w:pPr>
              <w:jc w:val="center"/>
              <w:ind w:right="53"/>
              <w:spacing w:after="0"/>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Olefins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1,869,888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1,785,895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Vinyls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2,638,833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2,618,646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1,066,531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809,449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5,575,252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5,213,990</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gridSpan w:val="4"/>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920" w:type="dxa"/>
            <w:vAlign w:val="bottom"/>
            <w:gridSpan w:val="8"/>
          </w:tcPr>
          <w:p>
            <w:pPr>
              <w:ind w:left="440"/>
              <w:spacing w:after="0"/>
              <w:rPr>
                <w:sz w:val="20"/>
                <w:szCs w:val="20"/>
                <w:color w:val="auto"/>
              </w:rPr>
            </w:pPr>
            <w:r>
              <w:rPr>
                <w:rFonts w:ascii="Arial" w:cs="Arial" w:eastAsia="Arial" w:hAnsi="Arial"/>
                <w:sz w:val="18"/>
                <w:szCs w:val="18"/>
                <w:color w:val="auto"/>
              </w:rPr>
              <w:t>A reconciliation of total segment income from operations to consolidated income before income taxes is as follows: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 for reportable segments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959,827</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1,123,991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953,464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(34,656)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(37,352)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(18,082)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38,270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6,790</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963,441</w:t>
            </w:r>
          </w:p>
        </w:tc>
        <w:tc>
          <w:tcPr>
            <w:tcW w:w="10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1,083,918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942,172</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Geographic Information</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Sales to external customers </w:t>
            </w:r>
            <w:r>
              <w:rPr>
                <w:rFonts w:ascii="Arial" w:cs="Arial" w:eastAsia="Arial" w:hAnsi="Arial"/>
                <w:sz w:val="25"/>
                <w:szCs w:val="25"/>
                <w:b w:val="1"/>
                <w:bCs w:val="1"/>
                <w:color w:val="auto"/>
                <w:vertAlign w:val="superscript"/>
              </w:rPr>
              <w:t>(1)</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3,133,395</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3,596,091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3,404,378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Germany</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394,459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198,921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3,942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Canada</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195,790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217,567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214,162</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Switzerland</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106,750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89,214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54,637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Italy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90,237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36,823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France</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58,727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27,521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8,207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483,978</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249,213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74,103</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4,463,336</w:t>
            </w:r>
          </w:p>
        </w:tc>
        <w:tc>
          <w:tcPr>
            <w:tcW w:w="10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4,415,350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3,759,484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December 31, 2015</w:t>
            </w:r>
          </w:p>
        </w:tc>
        <w:tc>
          <w:tcPr>
            <w:tcW w:w="140" w:type="dxa"/>
            <w:vAlign w:val="bottom"/>
          </w:tcPr>
          <w:p>
            <w:pPr>
              <w:spacing w:after="0"/>
              <w:rPr>
                <w:sz w:val="24"/>
                <w:szCs w:val="24"/>
                <w:color w:val="auto"/>
              </w:rPr>
            </w:pPr>
          </w:p>
        </w:tc>
        <w:tc>
          <w:tcPr>
            <w:tcW w:w="1340" w:type="dxa"/>
            <w:vAlign w:val="bottom"/>
          </w:tcPr>
          <w:p>
            <w:pPr>
              <w:jc w:val="center"/>
              <w:ind w:right="53"/>
              <w:spacing w:after="0"/>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Long-lived assets</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2,588,366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2,319,572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Germany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379,262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417,702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36,439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20,283</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3,004,067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2,757,557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4" w:lineRule="exact"/>
        <w:rPr>
          <w:sz w:val="20"/>
          <w:szCs w:val="20"/>
          <w:color w:val="auto"/>
        </w:rPr>
      </w:pPr>
    </w:p>
    <w:p>
      <w:pPr>
        <w:ind w:left="420" w:hanging="412"/>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Revenues are attributed to countries based on location of customer.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Subsequent Events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Subsequent events were evaluated through the date on which the financial statements were issued.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121" w:right="25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Guarantor Disclosures</w:t>
      </w:r>
    </w:p>
    <w:p>
      <w:pPr>
        <w:spacing w:after="0" w:line="9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Company's payment obligations under the 3.60% senior notes due 2022 are fully and unconditionally guaranteed by each of its current and future domestic subsidiaries that guarantee other debt of the Company or of another guarantor of the 3.60% senior notes due 2022 in excess of $5,000 (the "Guarantor Subsidiaries"). Except for OpCo, which is less than 100% owned, each Guarantor Subsidiary is 100% owned by Westlake Chemical Corporation (the "100% Owned Guarantor Subsidiaries"). See Note 20 regarding Westlake Partners' 10.6% limited partnership interest in OpCo. The initial public offering of Westlake Partners resulted in OpCo ceasing to be a 100% owned subsidiary of the Company. OpCo has been presented as a less than 100% owned guarantor subsidiary in each of the tables below, including for periods prior to the initial public offering of Westlake Partners. These guarantees are the joint and several obligations of the Guarantor Subsidiaries. The following unaudited condensed consolidating financial information presents the financial condition, results of operations and cash flows of Westlake Chemical Corporation, the 100% owned Guarantor Subsidiaries, OpCo and the remaining subsidiaries that do not guarantee the 3.60% senior notes due 2022 (the "Non-Guarantor Subsidiaries"), together with consolidating eliminations necessary to present the Company's results on a consolidated basis.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21" w:right="25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Financial Information as of December 31, 2015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OpCo</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Westlake</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100% Owned</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(Less Than</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Corporation</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Subsidiary)</w:t>
            </w:r>
          </w:p>
        </w:tc>
        <w:tc>
          <w:tcPr>
            <w:tcW w:w="14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303,131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163,430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189,136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662,525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520,144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520,144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2,183,276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51,582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113,321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(1,850,590)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508,532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326,588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103,593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434,060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14,489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32,787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35,439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837,121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2,561,645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410,734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(1,853,469)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2,175,189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w w:val="97"/>
              </w:rPr>
              <w:t>1,567,897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w w:val="94"/>
              </w:rPr>
              <w:t>1,020,469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415,701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3,004,067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4,991,167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1,207,679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469,915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(6,659,553)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17,896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450,428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44,157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129,539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(255,232)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386,788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5,846,184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5,787,649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4"/>
              </w:rPr>
              <w:t>1,283,784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1,425,889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(8,768,254)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5,575,252</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1,817,963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33,901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87,510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(1,825,865)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235,329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9,117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195,785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21,873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88,142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287,313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1,827,080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317,605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55,774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175,652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(1,853,469)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522,642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753,226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10,889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248,665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(248,665)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764,115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532,837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575,603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49,334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101,627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150,961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2,580,306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910,665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305,831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325,220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(2,108,701)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2,013,321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Westlake Chemical Corporation stockholders' equity</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7"/>
              </w:rPr>
              <w:t>3,265,878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4,876,984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977,953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804,616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(6,659,553)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3,265,878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296,053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296,053</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7"/>
              </w:rPr>
              <w:t>3,265,878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4,876,984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977,953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4"/>
              </w:rPr>
              <w:t>1,100,669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(6,659,553)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3,561,931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5,846,184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5,787,649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4"/>
              </w:rPr>
              <w:t>1,283,784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1,425,889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(8,768,254)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5,575,252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Financial Information as of December 31, 2014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OpCo</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Westlake</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100% Owned</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(Less Than</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Corporation</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Subsidiary)</w:t>
            </w:r>
          </w:p>
        </w:tc>
        <w:tc>
          <w:tcPr>
            <w:tcW w:w="14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655,947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131,545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90,052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880,601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8,451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1,454,709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56,049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135,133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(1,093,676)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560,666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414,975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104,167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525,776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9,485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11,807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32,437</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664,979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7"/>
              </w:rPr>
              <w:t>1,912,058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194,440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333,486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(1,093,676)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2,011,287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1,477,515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842,057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437,985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2,757,557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investments</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4,033,378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1,237,080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352,550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(5,561,703)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61,305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30,543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387,325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57,733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141,948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(233,708)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383,841</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4,728,900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5,013,978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4"/>
              </w:rPr>
              <w:t>1,094,230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4"/>
              </w:rPr>
              <w:t>1,265,969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(6,889,087)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5,213,990</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1,055,527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160,834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17,680</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95,856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1"/>
              </w:rPr>
              <w:t>(1,068,835)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261,062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203,608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77,372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276,118</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7"/>
              </w:rPr>
              <w:t>1,064,281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364,442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28,905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173,228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(1,093,676)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537,180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753,108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227,638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(227,638)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763,997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497,919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42,369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536,066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131,407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174,859</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7"/>
              </w:rPr>
              <w:t>1,817,389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916,702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258,391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347,004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(1,327,384)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2,012,102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Westlake Chemical Corporation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2,911,511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4,097,276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835,839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628,588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(5,561,703)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2,911,511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290,377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290,377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2,911,511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4,097,276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835,839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918,965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(5,561,703)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3,201,888</w:t>
            </w:r>
          </w:p>
        </w:tc>
        <w:tc>
          <w:tcPr>
            <w:tcW w:w="0" w:type="dxa"/>
            <w:vAlign w:val="bottom"/>
          </w:tcPr>
          <w:p>
            <w:pPr>
              <w:spacing w:after="0"/>
              <w:rPr>
                <w:sz w:val="1"/>
                <w:szCs w:val="1"/>
                <w:color w:val="auto"/>
              </w:rPr>
            </w:pPr>
          </w:p>
        </w:tc>
      </w:tr>
      <w:tr>
        <w:trPr>
          <w:trHeight w:val="25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4,728,900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5,013,978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4"/>
              </w:rPr>
              <w:t>1,094,230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4"/>
              </w:rPr>
              <w:t>1,265,969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(6,889,087)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5,213,990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Financial Information for the Year Ended December 31, 2015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OpCo</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Westlake</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100% Owned</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(Less Than</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Corporation</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Subsidiary)</w:t>
            </w:r>
          </w:p>
        </w:tc>
        <w:tc>
          <w:tcPr>
            <w:tcW w:w="14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3,660,393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w w:val="94"/>
              </w:rPr>
              <w:t>1,007,221</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w w:val="94"/>
              </w:rPr>
              <w:t>1,039,165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1"/>
              </w:rPr>
              <w:t>(1,243,443)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4,463,336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2,944,420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624,339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933,007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(1,223,621)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3,278,145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715,973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382,882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106,158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1,185,191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167,431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55,139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225,364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548,542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362,744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51,019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959,827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19,614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28,449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38,270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549,565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359,990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78,947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963,441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(Benefit from) provision for income taxes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288,329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16,632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298,396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of subsidiaries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663,834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314,026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(1,023,152)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646,010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575,262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359,318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107,607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(1,023,152)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665,045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19,035</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Westlake Chemical Corporation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646,010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575,262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359,318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88,572</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(1,023,152)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646,010</w:t>
            </w: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Comprehensive income attributable to</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596,151</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572,731</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359,318</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42,143</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(974,192)</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596,151</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Westlake Chemical Corporation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Financial Information for the Year Ended December 31, 2014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OpCo</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Westlake</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100% Owned</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(Less Than</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Eliminations</w:t>
            </w: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Corporation</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Subsidiary)</w:t>
            </w:r>
          </w:p>
        </w:tc>
        <w:tc>
          <w:tcPr>
            <w:tcW w:w="14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1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3,727,361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w w:val="94"/>
              </w:rPr>
              <w:t>1,749,700</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475,401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9"/>
              </w:rPr>
              <w:t>$ (1,537,112)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4,415,350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3,162,246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1,003,888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447,676</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(1,515,810)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3,098,000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565,115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745,812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27,725</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(21,302)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1,317,350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144,987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40,722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193,359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420,128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718,942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(12,997)</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1,123,991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(37,352)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21,001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(8,540)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415,197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711,594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1,083,918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Provision for (benefit from) income taxes</w:t>
            </w:r>
          </w:p>
        </w:tc>
        <w:tc>
          <w:tcPr>
            <w:tcW w:w="1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202,501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199,388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398,902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of subsidiaries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699,615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496,244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15,962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(1,211,821)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678,523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708,940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512,206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(1,211,821)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685,016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6,493</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6,493</w:t>
            </w: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Westlake Chemical</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678,523</w:t>
            </w: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708,940</w:t>
            </w: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512,206</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(9,325)</w:t>
            </w:r>
          </w:p>
        </w:tc>
        <w:tc>
          <w:tcPr>
            <w:tcW w:w="100" w:type="dxa"/>
            <w:vAlign w:val="bottom"/>
          </w:tcPr>
          <w:p>
            <w:pPr>
              <w:spacing w:after="0"/>
              <w:rPr>
                <w:sz w:val="18"/>
                <w:szCs w:val="18"/>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89"/>
              </w:rPr>
              <w:t>$ (1,211,821)</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678,523</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Corporation</w:t>
            </w:r>
          </w:p>
        </w:tc>
        <w:tc>
          <w:tcPr>
            <w:tcW w:w="14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Comprehensive income (loss) attributable to</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601,706</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703,148</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512,206</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(80,407)</w:t>
            </w:r>
          </w:p>
        </w:tc>
        <w:tc>
          <w:tcPr>
            <w:tcW w:w="1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(1,134,947)</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601,706</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Westlake Chemical Corporation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Financial Information for the Year Ended December 31, 2013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OpCo</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Westlake</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100% Owned</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(Less Than</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Eliminations</w:t>
            </w: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Corporation</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Subsidiary)</w:t>
            </w:r>
          </w:p>
        </w:tc>
        <w:tc>
          <w:tcPr>
            <w:tcW w:w="14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1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w w:val="97"/>
              </w:rPr>
              <w:t>3,195,406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w w:val="94"/>
              </w:rPr>
              <w:t>2,127,747</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48,016</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9"/>
              </w:rPr>
              <w:t>$ (1,611,685)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3,759,484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2,971,258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1,255,140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43,333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(1,611,685)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2,658,046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224,148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872,607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4,683</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1,101,438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114,211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25,451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6,184</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147,974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109,937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847,156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953,464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(18,082)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11,798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7,701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6,790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107,447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846,825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942,172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(Benefit from) provision for income taxes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34,340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300,279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331,747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of subsidiaries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616,754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546,546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(1,163,300)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Westlake Chemical</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610,425</w:t>
            </w: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619,653</w:t>
            </w: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546,546</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(2,899)</w:t>
            </w:r>
          </w:p>
        </w:tc>
        <w:tc>
          <w:tcPr>
            <w:tcW w:w="100" w:type="dxa"/>
            <w:vAlign w:val="bottom"/>
          </w:tcPr>
          <w:p>
            <w:pPr>
              <w:spacing w:after="0"/>
              <w:rPr>
                <w:sz w:val="18"/>
                <w:szCs w:val="18"/>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89"/>
              </w:rPr>
              <w:t>$ (1,163,300)</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610,425</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Corporation</w:t>
            </w:r>
          </w:p>
        </w:tc>
        <w:tc>
          <w:tcPr>
            <w:tcW w:w="14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Comprehensive income (loss) attributable to</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618,649</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629,308</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546,546</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1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(1,171,348)</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618,649</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Westlake Chemical Corporation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Financial Information for the Year Ended December 31, 2015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OpCo</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Westlake</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100% Owned</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(Less Than</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Corporation</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Subsidiary)</w:t>
            </w:r>
          </w:p>
        </w:tc>
        <w:tc>
          <w:tcPr>
            <w:tcW w:w="14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Cash Flows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646,010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575,262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359,318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107,607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(1,023,152)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665,045</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(used for) provided by operating activities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81,210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247,761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33,369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7,156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39,784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changes in working capital and other</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(660,777)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(368,494)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113,190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1,023,152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126,246</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w w:val="97"/>
              </w:rPr>
              <w:t>Net cash (used for) provided by operating activities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365,034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459,247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267,603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1,078,836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Acquisition of business, net of cash acquired</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15,782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15,782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(491,426)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Proceeds from disposition of assets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disposition of equity method investment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27,865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Proceeds from sales and maturities of securities</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48,900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48,900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(556,211)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(605,098)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Settlements of derivative instruments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(507,311)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(1,006,176)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financing</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418,844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(585,007)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156,368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Intercompany financing—OpCo</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135,341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(135,341)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(91,551)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Distributions paid</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327,060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(352,545)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10,629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limited partner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52,960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52,960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Repayment of notes payable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(73,615)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(73,615)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 for treasury</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(162,459)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3"/>
              </w:rPr>
              <w:t>Windfall tax benefits from share-based payment arrangements</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8"/>
              </w:rPr>
              <w:t>Net cash provided by (used for) financing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167,543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(196,177)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(286,812)</w:t>
            </w:r>
          </w:p>
        </w:tc>
        <w:tc>
          <w:tcPr>
            <w:tcW w:w="0" w:type="dxa"/>
            <w:vAlign w:val="bottom"/>
          </w:tcPr>
          <w:p>
            <w:pPr>
              <w:spacing w:after="0"/>
              <w:rPr>
                <w:sz w:val="1"/>
                <w:szCs w:val="1"/>
                <w:color w:val="auto"/>
              </w:rPr>
            </w:pPr>
          </w:p>
        </w:tc>
      </w:tr>
      <w:tr>
        <w:trPr>
          <w:trHeight w:val="459"/>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OpCo</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Westlake</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100% Owned</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(Less Than</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2"/>
                <w:szCs w:val="12"/>
                <w:color w:val="auto"/>
              </w:rPr>
            </w:pP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7"/>
              </w:rPr>
              <w:t>Corporation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Subsidiary)</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2"/>
              </w:rPr>
              <w:t>Effect of exchange rate changes on 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(3,924)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(352,816)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31,885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99,084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(218,076)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the year</w:t>
            </w:r>
          </w:p>
        </w:tc>
        <w:tc>
          <w:tcPr>
            <w:tcW w:w="14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655,947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3,057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131,545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90,052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880,601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the 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303,131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6,828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163,430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189,136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662,525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Financial Information for the Year Ended December 31, 2014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OpCo</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Westlake</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100% Owned</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(Less Than</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Corporation</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Subsidiary)</w:t>
            </w:r>
          </w:p>
        </w:tc>
        <w:tc>
          <w:tcPr>
            <w:tcW w:w="14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Cash Flows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678,523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708,940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512,206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(1,211,821)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685,016</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6"/>
              </w:rPr>
              <w:t>Adjustments to reconcile net income (loss) to net cash (used</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0"/>
              <w:spacing w:after="0"/>
              <w:rPr>
                <w:sz w:val="20"/>
                <w:szCs w:val="20"/>
                <w:color w:val="auto"/>
              </w:rPr>
            </w:pPr>
            <w:r>
              <w:rPr>
                <w:rFonts w:ascii="Arial" w:cs="Arial" w:eastAsia="Arial" w:hAnsi="Arial"/>
                <w:sz w:val="18"/>
                <w:szCs w:val="18"/>
                <w:color w:val="auto"/>
              </w:rPr>
              <w:t>for)</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provided by operating activities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77,611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210,159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55,344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8,608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58,967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changes in working capital and other</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(706,043)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(1,077,982)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645,559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1,211,821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78,234</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w w:val="97"/>
              </w:rPr>
              <w:t>Net cash (used for) provided by operating activities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(26,135)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(202,309)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603,304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657,516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1,032,376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Acquisition of business, net of cash acquired</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(611,087)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(611,087)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(209,111)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(431,104)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Proceeds from disposition of assets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repayment of loan acquired</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45,923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Proceeds from sales and maturities of securities</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342,045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342,045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(117,332)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Settlements of derivative instruments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8"/>
              </w:rPr>
              <w:t>Net cash provided by (used for)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224,713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(584,333)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(773,205)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financing</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155,665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102,702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Net distributions prior to Westlake Partners initial public</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offering</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448,101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(448,101)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debt issuance costs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(77,656)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151,729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(151,729)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(77,656)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paid</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8"/>
              </w:rPr>
              <w:t>Net proceeds from issuance of Westlake Partners common</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units</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286,088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286,088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limited partner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286,088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(286,088)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5,524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5,524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 for treasury</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(52,630)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3"/>
              </w:rPr>
              <w:t>Windfall tax benefits from share-based payment arrangements</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6,704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6,704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8"/>
              </w:rPr>
              <w:t>Net cash provided by (used for) financing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409,768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(268,803)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164,640</w:t>
            </w:r>
          </w:p>
        </w:tc>
        <w:tc>
          <w:tcPr>
            <w:tcW w:w="0" w:type="dxa"/>
            <w:vAlign w:val="bottom"/>
          </w:tcPr>
          <w:p>
            <w:pPr>
              <w:spacing w:after="0"/>
              <w:rPr>
                <w:sz w:val="1"/>
                <w:szCs w:val="1"/>
                <w:color w:val="auto"/>
              </w:rPr>
            </w:pPr>
          </w:p>
        </w:tc>
      </w:tr>
      <w:tr>
        <w:trPr>
          <w:trHeight w:val="459"/>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OpCo</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Westlake</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100% Owned</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(Less Than</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2"/>
                <w:szCs w:val="12"/>
                <w:color w:val="auto"/>
              </w:rPr>
            </w:pP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7"/>
              </w:rPr>
              <w:t>Corporation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Subsidiary)</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2"/>
              </w:rPr>
              <w:t>Effect of exchange rate changes on 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(4,511)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234,999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131,545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55,926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419,300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the year</w:t>
            </w:r>
          </w:p>
        </w:tc>
        <w:tc>
          <w:tcPr>
            <w:tcW w:w="14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420,948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6,227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34,126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461,301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the 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655,947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3,057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131,545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90,052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880,601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07" w:name="page108"/>
    <w:bookmarkEnd w:id="10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Financial Information for the Year Ended December 31, 2013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OpCo</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Westlake</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100% Owned</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(Less Than</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Corporation</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Subsidiary)</w:t>
            </w:r>
          </w:p>
        </w:tc>
        <w:tc>
          <w:tcPr>
            <w:tcW w:w="14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Cash Flows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610,425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619,653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546,546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(1,163,300)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610,425</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6"/>
              </w:rPr>
              <w:t>Adjustments to reconcile net income (loss) to net cash (used</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0"/>
              <w:spacing w:after="0"/>
              <w:rPr>
                <w:sz w:val="20"/>
                <w:szCs w:val="20"/>
                <w:color w:val="auto"/>
              </w:rPr>
            </w:pPr>
            <w:r>
              <w:rPr>
                <w:rFonts w:ascii="Arial" w:cs="Arial" w:eastAsia="Arial" w:hAnsi="Arial"/>
                <w:sz w:val="18"/>
                <w:szCs w:val="18"/>
                <w:color w:val="auto"/>
              </w:rPr>
              <w:t>for)</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provided by operating activities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73,463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159,267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56,787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37,054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93,732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changes in working capital and other</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(622,194)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(607,033)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1,163,300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(110,695)</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w w:val="97"/>
              </w:rPr>
              <w:t>Net cash (used for) provided by operating activities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151,304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602,509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9,152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752,729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Acquisition of business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(178,309)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(178,309)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equity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(453,538)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(679,222)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of assets pending sale-leaseback</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Proceeds from disposition of assets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repayment of loan to affiliate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Proceeds from sales and maturities of securities</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252,519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252,519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(367,150)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(367,150)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Settlements of derivative instruments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(655,246)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(1,002,238)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financing</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231,067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Net distributions prior to Westlake Partners initial public</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offering</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603,526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(603,526)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(55,236)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3,437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 for treasury</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(32,918)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3"/>
              </w:rPr>
              <w:t>Windfall tax benefits from share-based payment arrangements</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5,449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5,449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8"/>
              </w:rPr>
              <w:t>Net cash (used for) provided by financing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503,196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(372,459)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(79,268)</w:t>
            </w:r>
          </w:p>
        </w:tc>
        <w:tc>
          <w:tcPr>
            <w:tcW w:w="0" w:type="dxa"/>
            <w:vAlign w:val="bottom"/>
          </w:tcPr>
          <w:p>
            <w:pPr>
              <w:spacing w:after="0"/>
              <w:rPr>
                <w:sz w:val="1"/>
                <w:szCs w:val="1"/>
                <w:color w:val="auto"/>
              </w:rPr>
            </w:pPr>
          </w:p>
        </w:tc>
      </w:tr>
      <w:tr>
        <w:trPr>
          <w:trHeight w:val="459"/>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08" w:name="page109"/>
    <w:bookmarkEnd w:id="10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OpCo</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Westlake</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100% Owned</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(Less Than</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2"/>
                <w:szCs w:val="12"/>
                <w:color w:val="auto"/>
              </w:rPr>
            </w:pP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7"/>
              </w:rPr>
              <w:t>Corporation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4"/>
              </w:rPr>
              <w:t>Subsidiary)</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(332,933)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4,902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(328,777)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the year</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753,881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6,973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29,224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790,078</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end of the year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420,948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6,227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34,126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461,301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Quarterly Financial Information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13"/>
                <w:szCs w:val="13"/>
                <w:color w:val="auto"/>
              </w:rPr>
            </w:pPr>
          </w:p>
        </w:tc>
        <w:tc>
          <w:tcPr>
            <w:tcW w:w="12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3"/>
                <w:szCs w:val="13"/>
                <w:color w:val="auto"/>
              </w:rPr>
            </w:pPr>
          </w:p>
        </w:tc>
        <w:tc>
          <w:tcPr>
            <w:tcW w:w="13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3"/>
                <w:szCs w:val="13"/>
                <w:color w:val="auto"/>
              </w:rPr>
            </w:pPr>
          </w:p>
        </w:tc>
        <w:tc>
          <w:tcPr>
            <w:tcW w:w="1260" w:type="dxa"/>
            <w:vAlign w:val="bottom"/>
          </w:tcPr>
          <w:p>
            <w:pPr>
              <w:jc w:val="center"/>
              <w:ind w:right="174"/>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1,103,531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1,185,002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1,188,037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986,766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284,546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353,181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311,276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236,188</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229,280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295,374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181,145</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160" w:type="dxa"/>
            <w:vAlign w:val="bottom"/>
          </w:tcPr>
          <w:p>
            <w:pPr>
              <w:ind w:left="160"/>
              <w:spacing w:after="0"/>
              <w:rPr>
                <w:sz w:val="20"/>
                <w:szCs w:val="20"/>
                <w:color w:val="auto"/>
              </w:rPr>
            </w:pPr>
            <w:r>
              <w:rPr>
                <w:rFonts w:ascii="Arial" w:cs="Arial" w:eastAsia="Arial" w:hAnsi="Arial"/>
                <w:sz w:val="18"/>
                <w:szCs w:val="18"/>
                <w:color w:val="auto"/>
              </w:rPr>
              <w:t>Westlake Chemical Corporation</w:t>
            </w:r>
          </w:p>
        </w:tc>
        <w:tc>
          <w:tcPr>
            <w:tcW w:w="260" w:type="dxa"/>
            <w:vAlign w:val="bottom"/>
          </w:tcPr>
          <w:p>
            <w:pPr>
              <w:spacing w:after="0"/>
              <w:rPr>
                <w:sz w:val="20"/>
                <w:szCs w:val="20"/>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146,342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205,095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183,604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110,969</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common share attributable to</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516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Westlake Chemical Corporation: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0.85</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0.84</w:t>
            </w:r>
          </w:p>
        </w:tc>
      </w:tr>
      <w:tr>
        <w:trPr>
          <w:trHeight w:val="561"/>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13"/>
                <w:szCs w:val="13"/>
                <w:color w:val="auto"/>
              </w:rPr>
            </w:pPr>
          </w:p>
        </w:tc>
        <w:tc>
          <w:tcPr>
            <w:tcW w:w="12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3"/>
                <w:szCs w:val="13"/>
                <w:color w:val="auto"/>
              </w:rPr>
            </w:pPr>
          </w:p>
        </w:tc>
        <w:tc>
          <w:tcPr>
            <w:tcW w:w="13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3"/>
                <w:szCs w:val="13"/>
                <w:color w:val="auto"/>
              </w:rPr>
            </w:pPr>
          </w:p>
        </w:tc>
        <w:tc>
          <w:tcPr>
            <w:tcW w:w="1260" w:type="dxa"/>
            <w:vAlign w:val="bottom"/>
          </w:tcPr>
          <w:p>
            <w:pPr>
              <w:jc w:val="center"/>
              <w:ind w:right="174"/>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1,027,676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998,576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1,253,227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1,135,871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287,010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305,971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361,520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362,849</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248,055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266,788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306,761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302,387</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160" w:type="dxa"/>
            <w:vAlign w:val="bottom"/>
          </w:tcPr>
          <w:p>
            <w:pPr>
              <w:ind w:left="160"/>
              <w:spacing w:after="0"/>
              <w:rPr>
                <w:sz w:val="20"/>
                <w:szCs w:val="20"/>
                <w:color w:val="auto"/>
              </w:rPr>
            </w:pPr>
            <w:r>
              <w:rPr>
                <w:rFonts w:ascii="Arial" w:cs="Arial" w:eastAsia="Arial" w:hAnsi="Arial"/>
                <w:sz w:val="18"/>
                <w:szCs w:val="18"/>
                <w:color w:val="auto"/>
              </w:rPr>
              <w:t>Westlake Chemical Corporation</w:t>
            </w:r>
          </w:p>
        </w:tc>
        <w:tc>
          <w:tcPr>
            <w:tcW w:w="260" w:type="dxa"/>
            <w:vAlign w:val="bottom"/>
          </w:tcPr>
          <w:p>
            <w:pPr>
              <w:spacing w:after="0"/>
              <w:rPr>
                <w:sz w:val="20"/>
                <w:szCs w:val="20"/>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158,032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169,443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167,757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183,291</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common share attributable to</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516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Westlake Chemical Corporation: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1.38</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1.37</w:t>
            </w:r>
          </w:p>
        </w:tc>
      </w:tr>
      <w:tr>
        <w:trPr>
          <w:trHeight w:val="27"/>
        </w:trPr>
        <w:tc>
          <w:tcPr>
            <w:tcW w:w="5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200" w:hanging="412"/>
        <w:spacing w:after="0" w:line="264" w:lineRule="auto"/>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Basic and diluted earnings per common share ("EPS") for each quarter is computed using the weighted average shares outstanding during that quarter, while EPS for the year is computed using the weighted average shares outstanding for the year. As a result, the sum of the EPS for each of the four quarters may not equal the EPS for the year.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90"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President and Chief Executive Officer (our principal executive officer) and our Senior Vice President, Chief Financial Officer and Treasurer (our principal financial officer), of the effectiveness of our disclosure controls and procedures pursuant to Rules 13a-15 and 15d-15 under the Securities Exchange Act of 1934 as of the end of the period covered by this Form 10-K. Based upon that evaluation, our President and Chief Executive Officer and our Senior Vice President, Chief Financial Officer and Treasurer concluded that our disclosure controls and procedures are effective as of December 31, 2015 to provide reasonable assurance that information required to be disclosed by us in the reports that we file or submit under the Exchange Act is recorded, processed, summarized and reported within the time periods specified in the SEC's rules and forms, and is accumulated and communicated to management as appropriate to allow timely decisions regarding required disclosure.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Westlake's management's report on internal control over financial reporting appears on page 45 of this Annual Report on Form 10-K. In addition, PricewaterhouseCoopers LLP, the independent registered public accounting firm that audited the financial statements included in this Annual Report on Form 10-K, has also audited the effectiveness of internal control over financial reporting as of December 31, 2015, as stated in their report that appears on page 46 of this Annual Report on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31, 2015 that have materially affected, or are reasonably likely to materially affect, our internal control over financial reporting.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121" w:right="259" w:bottom="1440" w:gutter="0" w:footer="0" w:header="0"/>
        </w:sectPr>
      </w:pPr>
    </w:p>
    <w:bookmarkStart w:id="111" w:name="page112"/>
    <w:bookmarkEnd w:id="1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Item 401(b) of Regulation S-K, the information required by this item with respect to our executive officers is set forth in Part I of this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required by Items 10, 11, 12, 13 and 14 is incorporated by reference to the Proxy Statement, which will be filed with the SEC pursuant to Regulation 14A under the Exchange Act within 120 days of December 31, 2015.</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60"/>
          </w:cols>
          <w:pgMar w:left="240" w:top="122" w:right="299" w:bottom="1440" w:gutter="0" w:footer="0" w:header="0"/>
        </w:sectPr>
      </w:pPr>
    </w:p>
    <w:bookmarkStart w:id="112" w:name="page113"/>
    <w:bookmarkEnd w:id="1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6"/>
          <w:szCs w:val="16"/>
          <w:color w:val="auto"/>
        </w:rPr>
        <w:t>(a)(1)</w:t>
      </w:r>
      <w:r>
        <w:rPr>
          <w:sz w:val="20"/>
          <w:szCs w:val="20"/>
          <w:color w:val="auto"/>
        </w:rPr>
        <w:tab/>
      </w:r>
      <w:r>
        <w:rPr>
          <w:rFonts w:ascii="Arial" w:cs="Arial" w:eastAsia="Arial" w:hAnsi="Arial"/>
          <w:sz w:val="16"/>
          <w:szCs w:val="16"/>
          <w:color w:val="auto"/>
        </w:rPr>
        <w:t>The financial statements listed in the Index to Consolidated Financial Statements in Item 8 of this Form 10-K are filed as part of this Form 10-K.</w:t>
      </w:r>
    </w:p>
    <w:p>
      <w:pPr>
        <w:spacing w:after="0" w:line="208" w:lineRule="exact"/>
        <w:rPr>
          <w:sz w:val="20"/>
          <w:szCs w:val="20"/>
          <w:color w:val="auto"/>
        </w:rPr>
      </w:pPr>
    </w:p>
    <w:p>
      <w:pPr>
        <w:ind w:left="840" w:right="300" w:hanging="799"/>
        <w:spacing w:after="0" w:line="277" w:lineRule="auto"/>
        <w:tabs>
          <w:tab w:leader="none" w:pos="82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The following schedule is presented as required. All other schedules are omitted because the information is not applicable, not required, or has been furnished in the Consolidated Financial Statements or Notes thereto in Item 8 of this Form 10-K.</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 Schedule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Balance at</w:t>
            </w:r>
          </w:p>
        </w:tc>
        <w:tc>
          <w:tcPr>
            <w:tcW w:w="220" w:type="dxa"/>
            <w:vAlign w:val="bottom"/>
          </w:tcPr>
          <w:p>
            <w:pPr>
              <w:spacing w:after="0"/>
              <w:rPr>
                <w:sz w:val="14"/>
                <w:szCs w:val="14"/>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Charged to</w:t>
            </w:r>
          </w:p>
        </w:tc>
        <w:tc>
          <w:tcPr>
            <w:tcW w:w="16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Additions/</w:t>
            </w:r>
          </w:p>
        </w:tc>
        <w:tc>
          <w:tcPr>
            <w:tcW w:w="240" w:type="dxa"/>
            <w:vAlign w:val="bottom"/>
          </w:tcPr>
          <w:p>
            <w:pPr>
              <w:spacing w:after="0"/>
              <w:rPr>
                <w:sz w:val="14"/>
                <w:szCs w:val="14"/>
                <w:color w:val="auto"/>
              </w:rPr>
            </w:pPr>
          </w:p>
        </w:tc>
        <w:tc>
          <w:tcPr>
            <w:tcW w:w="112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Accounts Receivable Allowance for Doubtful Accounts</w:t>
            </w: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of Year</w:t>
            </w: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Expense</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(Deductions) </w:t>
            </w:r>
            <w:r>
              <w:rPr>
                <w:rFonts w:ascii="Arial" w:cs="Arial" w:eastAsia="Arial" w:hAnsi="Arial"/>
                <w:sz w:val="12"/>
                <w:szCs w:val="12"/>
                <w:b w:val="1"/>
                <w:bCs w:val="1"/>
                <w:color w:val="auto"/>
                <w:w w:val="92"/>
              </w:rPr>
              <w:t>(1)</w:t>
            </w:r>
          </w:p>
        </w:tc>
        <w:tc>
          <w:tcPr>
            <w:tcW w:w="240" w:type="dxa"/>
            <w:vAlign w:val="bottom"/>
          </w:tcPr>
          <w:p>
            <w:pPr>
              <w:spacing w:after="0"/>
              <w:rPr>
                <w:sz w:val="16"/>
                <w:szCs w:val="16"/>
                <w:color w:val="auto"/>
              </w:rPr>
            </w:pPr>
          </w:p>
        </w:tc>
        <w:tc>
          <w:tcPr>
            <w:tcW w:w="112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50"/>
        </w:trPr>
        <w:tc>
          <w:tcPr>
            <w:tcW w:w="55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13,468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14,095</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11,741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13,468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11,172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5,514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11,741</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4" w:lineRule="exact"/>
        <w:rPr>
          <w:sz w:val="20"/>
          <w:szCs w:val="20"/>
          <w:color w:val="auto"/>
        </w:rPr>
      </w:pPr>
    </w:p>
    <w:p>
      <w:pPr>
        <w:ind w:left="420" w:hanging="412"/>
        <w:spacing w:after="0"/>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Primarily accounts receivable written off during the period.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(a)(3)</w:t>
            </w:r>
          </w:p>
        </w:tc>
        <w:tc>
          <w:tcPr>
            <w:tcW w:w="10800" w:type="dxa"/>
            <w:vAlign w:val="bottom"/>
            <w:gridSpan w:val="4"/>
          </w:tcPr>
          <w:p>
            <w:pPr>
              <w:ind w:left="140"/>
              <w:spacing w:after="0"/>
              <w:rPr>
                <w:sz w:val="20"/>
                <w:szCs w:val="20"/>
                <w:color w:val="auto"/>
              </w:rPr>
            </w:pPr>
            <w:r>
              <w:rPr>
                <w:rFonts w:ascii="Arial" w:cs="Arial" w:eastAsia="Arial" w:hAnsi="Arial"/>
                <w:sz w:val="18"/>
                <w:szCs w:val="18"/>
                <w:color w:val="auto"/>
              </w:rPr>
              <w:t>Exhibits</w:t>
            </w:r>
          </w:p>
        </w:tc>
      </w:tr>
      <w:tr>
        <w:trPr>
          <w:trHeight w:val="392"/>
        </w:trPr>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2"/>
              </w:rPr>
              <w:t>Exhibit No.</w:t>
            </w:r>
          </w:p>
        </w:tc>
        <w:tc>
          <w:tcPr>
            <w:tcW w:w="10640" w:type="dxa"/>
            <w:vAlign w:val="bottom"/>
            <w:gridSpan w:val="3"/>
          </w:tcPr>
          <w:p>
            <w:pPr>
              <w:ind w:left="560"/>
              <w:spacing w:after="0"/>
              <w:rPr>
                <w:sz w:val="20"/>
                <w:szCs w:val="20"/>
                <w:color w:val="auto"/>
              </w:rPr>
            </w:pPr>
            <w:r>
              <w:rPr>
                <w:rFonts w:ascii="Arial" w:cs="Arial" w:eastAsia="Arial" w:hAnsi="Arial"/>
                <w:sz w:val="14"/>
                <w:szCs w:val="14"/>
                <w:b w:val="1"/>
                <w:bCs w:val="1"/>
                <w:color w:val="auto"/>
              </w:rPr>
              <w:t>Exhibit</w:t>
            </w:r>
          </w:p>
        </w:tc>
      </w:tr>
      <w:tr>
        <w:trPr>
          <w:trHeight w:val="20"/>
        </w:trPr>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r>
      <w:tr>
        <w:trPr>
          <w:trHeight w:val="371"/>
        </w:trPr>
        <w:tc>
          <w:tcPr>
            <w:tcW w:w="540" w:type="dxa"/>
            <w:vAlign w:val="bottom"/>
          </w:tcPr>
          <w:p>
            <w:pPr>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Share Purchase Agreement dated as of May 28, 2014 by and among Westlake Germany GmbH &amp; Co. KG and various entities associated</w:t>
            </w:r>
          </w:p>
        </w:tc>
      </w:tr>
      <w:tr>
        <w:trPr>
          <w:trHeight w:val="216"/>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with Advent International Corporation (incorporated by reference to Westlake's Quarterly Report on Form 10-Q for the quarter ended June</w:t>
            </w: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30, 2014, filed on August 6, 2014, File No. 1-32260).</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5"/>
              </w:rPr>
              <w:t>Certificate of Incorporation of Westlake as filed with the Delaware Secretary of State on August 6, 2004 (incorporated by reference to</w:t>
            </w: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Westlake's Registration Statement on Form S-1/A, filed on August 9, 2004).</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3"/>
              </w:rPr>
              <w:t>Certificate of Amendment to the Amended and Restated Certificate of Incorporation of Westlake as filed with the Delaware Secretary of</w:t>
            </w: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State on May 16, 2014 (incorporated by reference to Westlake's Current Report on Form 8-K, filed on May 16, 2014, File No. 001-32260).</w:t>
            </w: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Bylaws of Westlake (incorporated by reference to Westlake's Registration Statement on Form S-1/A, filed on August 9, 2004).</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89"/>
              </w:rPr>
              <w:t>Indenture dated as of January 1, 2006 by and among Westlake, the potential subsidiary guarantors listed therein and JPMorgan Chase Bank,</w:t>
            </w:r>
          </w:p>
        </w:tc>
      </w:tr>
      <w:tr>
        <w:trPr>
          <w:trHeight w:val="216"/>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8"/>
              </w:rPr>
              <w:t>National Association, as trustee (incorporated by reference to Westlake's Current Report on Form 8-K, filed on January 13, 2006,</w:t>
            </w: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File No. 1-32260).</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0"/>
              </w:rPr>
              <w:t>First Supplemental Indenture dated as of January 13, 2006 by and among Westlake, the subsidiary guarantors party thereto and JPMorgan</w:t>
            </w:r>
          </w:p>
        </w:tc>
      </w:tr>
      <w:tr>
        <w:trPr>
          <w:trHeight w:val="216"/>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2"/>
              </w:rPr>
              <w:t>Chase Bank, National Association, as trustee (incorporated by reference to Westlake's Current Report on Form 8-K, filed on January 13,</w:t>
            </w: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2006, File No. 1-32260).</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Second Supplemental Indenture, dated as of November 1, 2007, among the Company, the Subsidiary Guarantors (as defined therein) and</w:t>
            </w:r>
          </w:p>
        </w:tc>
      </w:tr>
      <w:tr>
        <w:trPr>
          <w:trHeight w:val="216"/>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4"/>
              </w:rPr>
              <w:t>The Bank of New York Trust Company, N.A., as trustee (incorporated by reference to Westlake's Current Report on Form 8-K, filed on</w:t>
            </w: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December 18, 2007, File No. 1-32260).</w:t>
            </w: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Form of 6 ¾% senior notes due 2032 (included in Exhibit 4.3).</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0"/>
              </w:rPr>
              <w:t>Third Supplemental Indenture, dated as of July 2, 2010, among the Company, the Subsidiary Guarantors (as defined therein) and The Bank</w:t>
            </w:r>
          </w:p>
        </w:tc>
      </w:tr>
      <w:tr>
        <w:trPr>
          <w:trHeight w:val="216"/>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of New York Mellon Trust Company, N.A., as trustee (incorporated by reference to Westlake's Current Report on Form 8-K, filed on July 8,</w:t>
            </w: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2010, File No. 1-32260).</w:t>
            </w: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Form of 6 ½% senior notes due 2029 (included in Exhibit 4.5).</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2"/>
              </w:rPr>
              <w:t>Fourth Supplemental Indenture, dated as of December 2, 2010, among the Company, the Subsidiary Guarantors (as defined therein) and</w:t>
            </w:r>
          </w:p>
        </w:tc>
      </w:tr>
      <w:tr>
        <w:trPr>
          <w:trHeight w:val="216"/>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The Bank of New York Mellon Trust Company, N.A., as trustee (incorporated by reference to Westlake's Current Report on Form 8-K, filed</w:t>
            </w: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on December 8, 2010, File No. 1-32260).</w:t>
            </w: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Form of 6 ½% senior notes due 2035 (the "2035 GO Zone Notes") (included in Exhibit 4.7).</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0"/>
              </w:rPr>
              <w:t>Fifth Supplemental Indenture, dated as of December 2, 2010, among the Company, the Subsidiary Guarantors (as defined therein) and The</w:t>
            </w:r>
          </w:p>
        </w:tc>
      </w:tr>
      <w:tr>
        <w:trPr>
          <w:trHeight w:val="216"/>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2"/>
              </w:rPr>
              <w:t>Bank of New York Mellon Trust Company, N.A., as trustee (incorporated by reference to Westlake's Current Report on Form 8-K, filed on</w:t>
            </w: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December 8, 2010, File No. 1-32260).</w:t>
            </w: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Form of 6 ½% senior notes due 2035 (the "2035 IKE Zone Notes") (included in Exhibit 4.9).</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Supplemental Indenture, dated as of December 31, 2007, among the Company, WPT LLC, Westlake Polymers LLC, Westlake</w:t>
            </w:r>
          </w:p>
        </w:tc>
      </w:tr>
      <w:tr>
        <w:trPr>
          <w:trHeight w:val="216"/>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4"/>
              </w:rPr>
              <w:t>Petrochemicals LLC, Westlake Styrene LLC, the other subsidiary guarantors party thereto and The Bank of New York Trust Company,</w:t>
            </w:r>
          </w:p>
        </w:tc>
      </w:tr>
      <w:tr>
        <w:trPr>
          <w:trHeight w:val="216"/>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40" w:type="dxa"/>
            <w:vAlign w:val="bottom"/>
            <w:gridSpan w:val="3"/>
          </w:tcPr>
          <w:p>
            <w:pPr>
              <w:ind w:left="560"/>
              <w:spacing w:after="0" w:line="216" w:lineRule="exact"/>
              <w:rPr>
                <w:sz w:val="20"/>
                <w:szCs w:val="20"/>
                <w:color w:val="auto"/>
              </w:rPr>
            </w:pPr>
            <w:r>
              <w:rPr>
                <w:rFonts w:ascii="Arial" w:cs="Arial" w:eastAsia="Arial" w:hAnsi="Arial"/>
                <w:sz w:val="18"/>
                <w:szCs w:val="18"/>
                <w:color w:val="auto"/>
                <w:w w:val="93"/>
              </w:rPr>
              <w:t xml:space="preserve">N.A. related to the 6 </w:t>
            </w:r>
            <w:r>
              <w:rPr>
                <w:rFonts w:ascii="Arial" w:cs="Arial" w:eastAsia="Arial" w:hAnsi="Arial"/>
                <w:sz w:val="25"/>
                <w:szCs w:val="25"/>
                <w:color w:val="auto"/>
                <w:w w:val="93"/>
                <w:vertAlign w:val="superscript"/>
              </w:rPr>
              <w:t>5</w:t>
            </w:r>
            <w:r>
              <w:rPr>
                <w:rFonts w:ascii="Arial" w:cs="Arial" w:eastAsia="Arial" w:hAnsi="Arial"/>
                <w:sz w:val="18"/>
                <w:szCs w:val="18"/>
                <w:color w:val="auto"/>
                <w:w w:val="93"/>
              </w:rPr>
              <w:t>/</w:t>
            </w:r>
            <w:r>
              <w:rPr>
                <w:rFonts w:ascii="Arial" w:cs="Arial" w:eastAsia="Arial" w:hAnsi="Arial"/>
                <w:sz w:val="14"/>
                <w:szCs w:val="14"/>
                <w:color w:val="auto"/>
                <w:w w:val="93"/>
              </w:rPr>
              <w:t>8</w:t>
            </w:r>
            <w:r>
              <w:rPr>
                <w:rFonts w:ascii="Arial" w:cs="Arial" w:eastAsia="Arial" w:hAnsi="Arial"/>
                <w:sz w:val="18"/>
                <w:szCs w:val="18"/>
                <w:color w:val="auto"/>
                <w:w w:val="93"/>
              </w:rPr>
              <w:t>% senior notes (incorporated by reference to Exhibit 4.6 to Westlake's Annual Report on Form 10-K for the year</w:t>
            </w: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ended December 31, 2007, filed on February 20, 2008, File No. 1-32260).</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Supplemental Indenture, dated as of December 31, 2007, among the Company, WPT LLC, Westlake Polymers LLC, Westlake</w:t>
            </w:r>
          </w:p>
        </w:tc>
      </w:tr>
      <w:tr>
        <w:trPr>
          <w:trHeight w:val="216"/>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4"/>
              </w:rPr>
              <w:t>Petrochemicals LLC, Westlake Styrene LLC, the other subsidiary guarantors party thereto and The Bank of New York Trust Company,</w:t>
            </w:r>
          </w:p>
        </w:tc>
      </w:tr>
      <w:tr>
        <w:trPr>
          <w:trHeight w:val="216"/>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4"/>
              </w:rPr>
              <w:t>N.A. related to the 6 ¾% senior notes (incorporated by reference to Exhibit 4.7 to Westlake's Annual Report on Form 10-K for the year</w:t>
            </w: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ended December 31, 2007, filed on February 20, 2008, File No. 1-32260).</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89"/>
              </w:rPr>
              <w:t>Sixth Supplemental Indenture, dated as of July 17, 2012, among the Company, the Subsidiary Guarantors (as defined therein) and The Bank</w:t>
            </w:r>
          </w:p>
        </w:tc>
      </w:tr>
      <w:tr>
        <w:trPr>
          <w:trHeight w:val="216"/>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2"/>
              </w:rPr>
              <w:t>of New York Mellon Trust Company, N.A., as trustee (incorporated by reference to Exhibit 4.2 to the Company's Current Report on Form</w:t>
            </w: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8-K, filed with the Securities and Exchange Commission on July 16, 2012, File No. 1-32260).</w:t>
            </w: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auto"/>
              </w:rPr>
              <w:t>4.14</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Form of the Company's 3.60% Senior Notes due 2022 (included in Exhibit 4.13).</w:t>
            </w:r>
          </w:p>
        </w:tc>
      </w:tr>
    </w:tbl>
    <w:p>
      <w:pPr>
        <w:spacing w:after="0" w:line="200" w:lineRule="exact"/>
        <w:rPr>
          <w:sz w:val="20"/>
          <w:szCs w:val="20"/>
          <w:color w:val="auto"/>
        </w:rPr>
      </w:pPr>
    </w:p>
    <w:p>
      <w:pPr>
        <w:sectPr>
          <w:pgSz w:w="11900" w:h="16838" w:orient="portrait"/>
          <w:cols w:equalWidth="0" w:num="1">
            <w:col w:w="11380"/>
          </w:cols>
          <w:pgMar w:left="240" w:top="121" w:right="279" w:bottom="1440" w:gutter="0" w:footer="0" w:header="0"/>
        </w:sectPr>
      </w:pP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380"/>
          </w:cols>
          <w:pgMar w:left="240" w:top="121" w:right="279" w:bottom="144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161"/>
        </w:trPr>
        <w:tc>
          <w:tcPr>
            <w:tcW w:w="116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20" w:type="dxa"/>
            <w:vAlign w:val="bottom"/>
          </w:tcPr>
          <w:p>
            <w:pPr>
              <w:spacing w:after="0"/>
              <w:rPr>
                <w:sz w:val="14"/>
                <w:szCs w:val="14"/>
                <w:color w:val="auto"/>
              </w:rPr>
            </w:pPr>
          </w:p>
        </w:tc>
      </w:tr>
      <w:tr>
        <w:trPr>
          <w:trHeight w:val="615"/>
        </w:trPr>
        <w:tc>
          <w:tcPr>
            <w:tcW w:w="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0"/>
                <w:szCs w:val="20"/>
                <w:color w:val="auto"/>
              </w:rPr>
            </w:pPr>
            <w:r>
              <w:rPr>
                <w:rFonts w:ascii="Arial" w:cs="Arial" w:eastAsia="Arial" w:hAnsi="Arial"/>
                <w:sz w:val="14"/>
                <w:szCs w:val="14"/>
                <w:b w:val="1"/>
                <w:bCs w:val="1"/>
                <w:color w:val="auto"/>
                <w:w w:val="92"/>
              </w:rPr>
              <w:t>Exhibit No.</w:t>
            </w: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4"/>
                <w:szCs w:val="14"/>
                <w:b w:val="1"/>
                <w:bCs w:val="1"/>
                <w:color w:val="auto"/>
              </w:rPr>
              <w:t>Exhibit</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r>
      <w:tr>
        <w:trPr>
          <w:trHeight w:val="371"/>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0"/>
              </w:rPr>
              <w:t>Seventh Supplemental Indenture, dated as of February 12, 2013, among the Company, the Subsidiary Guarantors (as defined therein) and</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1"/>
              </w:rPr>
              <w:t>The Bank of New York Mellon Trust Company, N.A., as trustee (incorporated by reference to Exhibit 4.16 to Westlake's Annual Report on</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rPr>
              <w:t>Form 10-K for the year ended December 31, 2012, filed on February 22, 2013,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4.16</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2"/>
              </w:rPr>
              <w:t>Supplemental Indenture, dated as of May 1, 2013, among North American Specialty Products LLC, a Delaware limited liability company,</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3"/>
              </w:rPr>
              <w:t>the Company, the other Subsidiary Guarantors (as defined therein) and The Bank of New York Mellon Trust Company, N.A., as trustee</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9"/>
              </w:rPr>
              <w:t>(incorporated by reference to Exhibit 4.2 to Westlake's Current Report on Form 8-K, filed on March 29, 2013, File No. 1-32260).</w:t>
            </w:r>
          </w:p>
        </w:tc>
      </w:tr>
      <w:tr>
        <w:trPr>
          <w:trHeight w:val="593"/>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2"/>
              </w:rPr>
              <w:t>Supplemental Indenture, dated as of June 1, 2013, among Westlake Pipeline Investments LLC, a Delaware limited liability company, the</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6"/>
              </w:rPr>
              <w:t>Company, the other Subsidiary Guarantors (as defined therein) and The Bank of New York Mellon Trust Company, N.A., as trustee</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9"/>
              </w:rPr>
              <w:t>(incorporated by reference to Exhibit 4.3 to Westlake's Current Report on Form 8-K, filed on March 29, 2013, File No. 1-32260).</w:t>
            </w:r>
          </w:p>
        </w:tc>
      </w:tr>
      <w:tr>
        <w:trPr>
          <w:trHeight w:val="593"/>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4"/>
              </w:rPr>
              <w:t>Supplemental Indenture, dated as of June 1, 2013, among Westlake NG IV Corporation, a Delaware corporation, and Westlake NG V</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5"/>
              </w:rPr>
              <w:t>Corporation, a Delaware corporation, the Company, the other Subsidiary Guarantors (as defined therein) and The Bank of New York</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5"/>
              </w:rPr>
              <w:t>Mellon Trust Company, N.A., as trustee (incorporated by reference to Exhibit 4.4 to Westlake's Current Report on Form 8-K, filed on</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rPr>
              <w:t>March 29, 2013,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4.19</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0"/>
              </w:rPr>
              <w:t>Supplemental Indenture dated as of July 17, 2014 among Westlake Chemical OpCo, LP, the Company, the other Subsidiary Guarantors (as</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3"/>
              </w:rPr>
              <w:t>defined therein) and The Bank of New York Mellon Trust Company, N.A., as trustee (incorporated by reference to Westlake's Quarterly</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rPr>
              <w:t>Report on Form 10-Q for the quarter ended June 30, 2014, filed on August 6, 2014, File No. 1-32260).</w:t>
            </w:r>
          </w:p>
        </w:tc>
      </w:tr>
      <w:tr>
        <w:trPr>
          <w:trHeight w:val="377"/>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3"/>
              </w:rPr>
              <w:t>Westlake and its subsidiaries are party to other long-term debt instruments not filed herewith under which the total amount of securities</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0"/>
              </w:rPr>
              <w:t>authorized does not exceed 10% of the total assets of Westlake and its subsidiaries on a consolidated basis. Pursuant to paragraph 4(iii)(A)</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rPr>
              <w:t>of Item 601(b) of Regulation S-K, Westlake agrees to furnish a copy of such instruments to the SEC upon request.</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1"/>
              </w:rPr>
              <w:t>Third Amended and Restated Credit Agreement dated as of July 17, 2014 by and among the financial institutions party thereto, as lenders,</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2"/>
              </w:rPr>
              <w:t>Bank of America, N.A., as agent, and Westlake Chemical Corporation and certain of its domestic subsidiaries, as borrowers, relating to a</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3"/>
              </w:rPr>
              <w:t>$400.0 million senior secured revolving credit facility (incorporated by reference to Westlake's Current Report on Form 8-K, filed on July</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rPr>
              <w:t>17, 2014, File No. 001-32260).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5"/>
              </w:rPr>
              <w:t>Borrower Joinder Agreement, dated as of May 1, 2013, between North American Specialty Products LLC, a Delaware limited liability</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3"/>
              </w:rPr>
              <w:t>company, the Existing Borrowers (as defined therein) and Bank of America, N.A., as administrative agent (incorporated by reference to</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rPr>
              <w:t>Exhibit 4.1 to Westlake's Current Report on Form 8-K, filed on March 29, 2013, File No. 1-32260).</w:t>
            </w:r>
          </w:p>
        </w:tc>
      </w:tr>
      <w:tr>
        <w:trPr>
          <w:trHeight w:val="593"/>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5"/>
              </w:rPr>
              <w:t>Loan Agreement, dated as of November 1, 2007, by and between the Company and the Louisiana Local Government Environmental</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9"/>
              </w:rPr>
              <w:t>Facilities and Community Development Authority (incorporated by reference to Westlake's Current Report on Form 8-K, filed on</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rPr>
              <w:t>December 18, 2007,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3"/>
              </w:rPr>
              <w:t>Amended and Restated Loan Agreement, dated as of July 2, 2010, by and between the Company and the Louisiana Local Government</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3"/>
              </w:rPr>
              <w:t>Environmental Facilities and Community Development Authority (incorporated by reference to Westlake's Current Report on Form 8-K,</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rPr>
              <w:t>filed on July 8, 2010,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5"/>
              </w:rPr>
              <w:t>Loan Agreement, dated as of November 1, 2010, by and between the Company and the Louisiana Local Government Environmental</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3"/>
              </w:rPr>
              <w:t>Facilities and Community Development Authority, relating to the 2035 GO Zone Notes (incorporated by reference to Westlake's Current</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rPr>
              <w:t>Report on Form 8-K, filed on December 8, 2010,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5"/>
              </w:rPr>
              <w:t>Loan Agreement, dated as of November 1, 2010, by and between the Company and the Louisiana Local Government Environmental</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3"/>
              </w:rPr>
              <w:t>Facilities and Community Development Authority, relating to the 2035 IKE Zone Notes (incorporated by reference to Westlake's Current</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rPr>
              <w:t>Report on Form 8-K, filed on December 8, 2010,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1"/>
              </w:rPr>
              <w:t>Form of Registration Rights Agreement between Westlake and TTWF LP (incorporated by reference to Westlake's Registration Statement</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rPr>
              <w:t>on Form S-1/A, filed on July 2, 2004).</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9"/>
              </w:rPr>
              <w:t>Senior Unsecured Revolving Credit Agreement between Westlake Chemical OpCo LP and Westlake Development Corporation</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0"/>
              </w:rPr>
              <w:t>(incorporated by reference to Exhibit 10.13 to Westlake Chemical Partners LP's Registration Statement on Form S-1 filed on June 30, 2014,</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rPr>
              <w:t>File No. 1-36567).</w:t>
            </w:r>
          </w:p>
        </w:tc>
      </w:tr>
    </w:tbl>
    <w:p>
      <w:pPr>
        <w:spacing w:after="0" w:line="200" w:lineRule="exact"/>
        <w:rPr>
          <w:sz w:val="20"/>
          <w:szCs w:val="20"/>
          <w:color w:val="auto"/>
        </w:rPr>
      </w:pPr>
    </w:p>
    <w:p>
      <w:pPr>
        <w:sectPr>
          <w:pgSz w:w="11900" w:h="16838" w:orient="portrait"/>
          <w:cols w:equalWidth="0" w:num="1">
            <w:col w:w="11360"/>
          </w:cols>
          <w:pgMar w:left="240" w:top="114" w:right="299" w:bottom="1440" w:gutter="0" w:footer="0" w:header="0"/>
        </w:sectPr>
      </w:pP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360"/>
          </w:cols>
          <w:pgMar w:left="240" w:top="114" w:right="29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161"/>
        </w:trPr>
        <w:tc>
          <w:tcPr>
            <w:tcW w:w="116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0" w:type="dxa"/>
            <w:vAlign w:val="bottom"/>
          </w:tcPr>
          <w:p>
            <w:pPr>
              <w:spacing w:after="0"/>
              <w:rPr>
                <w:sz w:val="14"/>
                <w:szCs w:val="14"/>
                <w:color w:val="auto"/>
              </w:rPr>
            </w:pPr>
          </w:p>
        </w:tc>
      </w:tr>
      <w:tr>
        <w:trPr>
          <w:trHeight w:val="615"/>
        </w:trPr>
        <w:tc>
          <w:tcPr>
            <w:tcW w:w="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0"/>
                <w:szCs w:val="20"/>
                <w:color w:val="auto"/>
              </w:rPr>
            </w:pPr>
            <w:r>
              <w:rPr>
                <w:rFonts w:ascii="Arial" w:cs="Arial" w:eastAsia="Arial" w:hAnsi="Arial"/>
                <w:sz w:val="14"/>
                <w:szCs w:val="14"/>
                <w:b w:val="1"/>
                <w:bCs w:val="1"/>
                <w:color w:val="auto"/>
                <w:w w:val="92"/>
              </w:rPr>
              <w:t>Exhibit No.</w:t>
            </w: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4"/>
                <w:szCs w:val="14"/>
                <w:b w:val="1"/>
                <w:bCs w:val="1"/>
                <w:color w:val="auto"/>
              </w:rPr>
              <w:t>Exhibit</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r>
      <w:tr>
        <w:trPr>
          <w:trHeight w:val="371"/>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4"/>
              </w:rPr>
              <w:t>Senior Unsecured Revolving Credit Agreement by and among Westlake Chemical Partners GP LLC and Westlake Chemical Finance</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2"/>
              </w:rPr>
              <w:t>Corporation, dated as of April 29, 2015 (incorporated by reference to Exhibit 10.1 to Westlake Chemical Partners LP's Current Report on</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Form 8-K filed on April 30, 2015, File No. 1-36567).</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0"/>
              </w:rPr>
              <w:t>Westlake Chemical Corporation 2013 Omnibus Incentive Plan (as amended and restated as of May 17, 2013) (incorporated by reference to</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Exhibit 10.1 to the Company's Current Report on Form 8-K filed on May 22, 2013, File No.1-32260).</w:t>
            </w:r>
          </w:p>
        </w:tc>
      </w:tr>
      <w:tr>
        <w:trPr>
          <w:trHeight w:val="593"/>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0"/>
              </w:rPr>
              <w:t>Form of Restricted Stock Award Letter for Special February 2007 Awards (incorporated by reference to Westlake's Current Report on Form</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8-K, filed on March 1, 2007,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1"/>
              </w:rPr>
              <w:t>Form of Stock Option Award Letter for Special February 2007 Awards (incorporated by reference to Westlake's Current Report on Form 8-</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K, filed on March 1, 2007,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3"/>
              </w:rPr>
              <w:t>Form of Long-Term Cash Performance Award Letter effective as of February 18, 2011 (incorporated by reference to Westlake's Annual</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Report on Form 10-K for the year ended December 31, 2010, filed on February 24, 2011,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10.14+</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2"/>
              </w:rPr>
              <w:t>Westlake Chemical Corporation Amended and Restated Annual Incentive Plan adopted by the Compensation Committee of the Board of</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3"/>
              </w:rPr>
              <w:t>Directors on March 24, 2011 (incorporated by reference to Westlake's Quarterly Report on Form 10-Q for the quarter ended March 31,</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2011, filed on May 4, 2011,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10.15+</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3"/>
              </w:rPr>
              <w:t>Form of Restricted Stock Units Award Letter effective as of February 15, 2013 (incorporated by reference to Exhibit 10.29 to Westlake's</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Annual Report on Form 10-K for the year ended December 31, 2012, filed on February 22, 2013,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10.16+</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2"/>
              </w:rPr>
              <w:t>Form of Stock Option Award Letter for 2015 Executive Officer Awards (incorporated by reference to Exhibit 10.3 to Westlake's Quarterly</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Report on Form 10-Q for the quarter ended March 31, 2015,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3"/>
              </w:rPr>
              <w:t>Form of Restricted Stock Units Award Letter for 2015 Executive Officer Awards (incorporated by reference to Exhibit 10.4 to Westlake's</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Quarterly Report on Form 10-Q for the quarter ended March 31, 2015,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5"/>
              </w:rPr>
              <w:t>Form of Long-Term Cash Performance Award Letter for 2015 Executive Officer Awards (incorporated by reference to Exhibit 10.5 to</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Westlake's Quarterly Report on Form 10-Q for the quarter ended March 31, 2015, File No. 1-32260).</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21†</w:t>
            </w: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Subsidiaries of Westlake.</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23.1†</w:t>
            </w: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Consent of PricewaterhouseCoopers LLP.</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31.1†</w:t>
            </w: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Rule 13a-14(a) / 15d-14(a) Certification (Principal Executive Officer).</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31.2†</w:t>
            </w: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Rule 13a-14(a) / 15d-14(a) Certification (Principal Financial Officer).</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32.1†</w:t>
            </w: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Section 1350 Certification (Principal Executive Officer and Principal Financial Officer).</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99.1†</w:t>
            </w: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Financial Statements of Non Wholly-Owned Subsidiary Guarantor (Westlake Chemical OpCo LP)</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XBRL Instance Document.</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05"/>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4" w:lineRule="exact"/>
        <w:rPr>
          <w:sz w:val="20"/>
          <w:szCs w:val="20"/>
          <w:color w:val="auto"/>
        </w:rPr>
      </w:pPr>
    </w:p>
    <w:p>
      <w:pPr>
        <w:ind w:left="420" w:hanging="412"/>
        <w:spacing w:after="0"/>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20" w:hanging="412"/>
        <w:spacing w:after="0"/>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ectPr>
          <w:pgSz w:w="11900" w:h="16838" w:orient="portrait"/>
          <w:cols w:equalWidth="0" w:num="1">
            <w:col w:w="11340"/>
          </w:cols>
          <w:pgMar w:left="240" w:top="114" w:right="319" w:bottom="1440" w:gutter="0" w:footer="0" w:header="0"/>
        </w:sect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340"/>
          </w:cols>
          <w:pgMar w:left="240" w:top="114" w:right="319" w:bottom="1440" w:gutter="0" w:footer="0" w:header="0"/>
          <w:type w:val="continuous"/>
        </w:sectPr>
      </w:pPr>
    </w:p>
    <w:bookmarkStart w:id="116" w:name="page117"/>
    <w:bookmarkEnd w:id="1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WESTLAKE CHEMICAL CORPORATION</w:t>
      </w:r>
    </w:p>
    <w:p>
      <w:pPr>
        <w:spacing w:after="0" w:line="387" w:lineRule="exact"/>
        <w:rPr>
          <w:sz w:val="20"/>
          <w:szCs w:val="20"/>
          <w:color w:val="auto"/>
        </w:rPr>
      </w:pPr>
    </w:p>
    <w:p>
      <w:pPr>
        <w:ind w:left="40"/>
        <w:spacing w:after="0"/>
        <w:tabs>
          <w:tab w:leader="none" w:pos="820" w:val="left"/>
          <w:tab w:leader="none" w:pos="8240" w:val="left"/>
          <w:tab w:leader="none" w:pos="8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24, 2016</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75"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Albert Chao, President and Chief Executive Officer</w:t>
      </w:r>
    </w:p>
    <w:p>
      <w:pPr>
        <w:spacing w:after="0" w:line="212"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60"/>
          </w:cols>
          <w:pgMar w:left="240" w:top="121" w:right="299" w:bottom="1440" w:gutter="0" w:footer="0" w:header="0"/>
        </w:sectPr>
      </w:pPr>
    </w:p>
    <w:p>
      <w:pPr>
        <w:spacing w:after="0" w:line="284"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u w:val="single" w:color="auto"/>
          <w:color w:val="auto"/>
        </w:rPr>
        <w:t>Signature</w:t>
      </w:r>
    </w:p>
    <w:p>
      <w:pPr>
        <w:spacing w:after="0" w:line="212" w:lineRule="exact"/>
        <w:rPr>
          <w:sz w:val="20"/>
          <w:szCs w:val="20"/>
          <w:color w:val="auto"/>
        </w:rPr>
      </w:pPr>
    </w:p>
    <w:p>
      <w:pPr>
        <w:jc w:val="center"/>
        <w:ind w:left="480"/>
        <w:spacing w:after="0"/>
        <w:tabs>
          <w:tab w:leader="none" w:pos="1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Albert Chao</w:t>
      </w:r>
    </w:p>
    <w:p>
      <w:pPr>
        <w:spacing w:after="0" w:line="199" w:lineRule="exact"/>
        <w:rPr>
          <w:sz w:val="20"/>
          <w:szCs w:val="20"/>
          <w:color w:val="auto"/>
        </w:rPr>
      </w:pPr>
    </w:p>
    <w:p>
      <w:pPr>
        <w:jc w:val="center"/>
        <w:ind w:left="4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M. Steven Bender</w:t>
      </w:r>
    </w:p>
    <w:p>
      <w:pPr>
        <w:spacing w:after="0" w:line="199" w:lineRule="exact"/>
        <w:rPr>
          <w:sz w:val="20"/>
          <w:szCs w:val="20"/>
          <w:color w:val="auto"/>
        </w:rPr>
      </w:pPr>
    </w:p>
    <w:p>
      <w:pPr>
        <w:jc w:val="center"/>
        <w:ind w:left="48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G</w:t>
      </w:r>
      <w:r>
        <w:rPr>
          <w:rFonts w:ascii="Arial" w:cs="Arial" w:eastAsia="Arial" w:hAnsi="Arial"/>
          <w:sz w:val="13"/>
          <w:szCs w:val="13"/>
          <w:color w:val="auto"/>
        </w:rPr>
        <w:t>EORGE</w:t>
      </w:r>
      <w:r>
        <w:rPr>
          <w:rFonts w:ascii="Arial" w:cs="Arial" w:eastAsia="Arial" w:hAnsi="Arial"/>
          <w:sz w:val="17"/>
          <w:szCs w:val="17"/>
          <w:color w:val="auto"/>
        </w:rPr>
        <w:t xml:space="preserve"> J. M</w:t>
      </w:r>
      <w:r>
        <w:rPr>
          <w:rFonts w:ascii="Arial" w:cs="Arial" w:eastAsia="Arial" w:hAnsi="Arial"/>
          <w:sz w:val="13"/>
          <w:szCs w:val="13"/>
          <w:color w:val="auto"/>
        </w:rPr>
        <w:t>ANGIERI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George J. Mangieri</w:t>
      </w:r>
    </w:p>
    <w:p>
      <w:pPr>
        <w:spacing w:after="0" w:line="199" w:lineRule="exact"/>
        <w:rPr>
          <w:sz w:val="20"/>
          <w:szCs w:val="20"/>
          <w:color w:val="auto"/>
        </w:rPr>
      </w:pPr>
    </w:p>
    <w:p>
      <w:pPr>
        <w:jc w:val="center"/>
        <w:ind w:left="4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James Chao</w:t>
      </w:r>
    </w:p>
    <w:p>
      <w:pPr>
        <w:spacing w:after="0" w:line="199" w:lineRule="exact"/>
        <w:rPr>
          <w:sz w:val="20"/>
          <w:szCs w:val="20"/>
          <w:color w:val="auto"/>
        </w:rPr>
      </w:pPr>
    </w:p>
    <w:p>
      <w:pPr>
        <w:jc w:val="center"/>
        <w:ind w:left="480"/>
        <w:spacing w:after="0"/>
        <w:tabs>
          <w:tab w:leader="none" w:pos="1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Albert Chao</w:t>
      </w:r>
    </w:p>
    <w:p>
      <w:pPr>
        <w:spacing w:after="0" w:line="199" w:lineRule="exact"/>
        <w:rPr>
          <w:sz w:val="20"/>
          <w:szCs w:val="20"/>
          <w:color w:val="auto"/>
        </w:rPr>
      </w:pPr>
    </w:p>
    <w:p>
      <w:pPr>
        <w:jc w:val="center"/>
        <w:ind w:left="48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R</w:t>
      </w:r>
      <w:r>
        <w:rPr>
          <w:rFonts w:ascii="Arial" w:cs="Arial" w:eastAsia="Arial" w:hAnsi="Arial"/>
          <w:sz w:val="13"/>
          <w:szCs w:val="13"/>
          <w:color w:val="auto"/>
        </w:rPr>
        <w:t>OBERT</w:t>
      </w:r>
      <w:r>
        <w:rPr>
          <w:rFonts w:ascii="Arial" w:cs="Arial" w:eastAsia="Arial" w:hAnsi="Arial"/>
          <w:sz w:val="17"/>
          <w:szCs w:val="17"/>
          <w:color w:val="auto"/>
        </w:rPr>
        <w:t xml:space="preserve"> T. B</w:t>
      </w:r>
      <w:r>
        <w:rPr>
          <w:rFonts w:ascii="Arial" w:cs="Arial" w:eastAsia="Arial" w:hAnsi="Arial"/>
          <w:sz w:val="13"/>
          <w:szCs w:val="13"/>
          <w:color w:val="auto"/>
        </w:rPr>
        <w:t>LAKELY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Robert T. Blakely</w:t>
      </w:r>
    </w:p>
    <w:p>
      <w:pPr>
        <w:spacing w:after="0" w:line="199" w:lineRule="exact"/>
        <w:rPr>
          <w:sz w:val="20"/>
          <w:szCs w:val="20"/>
          <w:color w:val="auto"/>
        </w:rPr>
      </w:pPr>
    </w:p>
    <w:p>
      <w:pPr>
        <w:jc w:val="center"/>
        <w:ind w:left="4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w:t>
      </w:r>
      <w:r>
        <w:rPr>
          <w:rFonts w:ascii="Arial" w:cs="Arial" w:eastAsia="Arial" w:hAnsi="Arial"/>
          <w:sz w:val="13"/>
          <w:szCs w:val="13"/>
          <w:color w:val="auto"/>
        </w:rPr>
        <w:t>ICHAEL</w:t>
      </w:r>
      <w:r>
        <w:rPr>
          <w:rFonts w:ascii="Arial" w:cs="Arial" w:eastAsia="Arial" w:hAnsi="Arial"/>
          <w:sz w:val="17"/>
          <w:szCs w:val="17"/>
          <w:color w:val="auto"/>
        </w:rPr>
        <w:t xml:space="preserve"> J. G</w:t>
      </w:r>
      <w:r>
        <w:rPr>
          <w:rFonts w:ascii="Arial" w:cs="Arial" w:eastAsia="Arial" w:hAnsi="Arial"/>
          <w:sz w:val="13"/>
          <w:szCs w:val="13"/>
          <w:color w:val="auto"/>
        </w:rPr>
        <w:t>RAFF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Michael J. Graff</w:t>
      </w:r>
    </w:p>
    <w:p>
      <w:pPr>
        <w:spacing w:after="0" w:line="199" w:lineRule="exact"/>
        <w:rPr>
          <w:sz w:val="20"/>
          <w:szCs w:val="20"/>
          <w:color w:val="auto"/>
        </w:rPr>
      </w:pPr>
    </w:p>
    <w:p>
      <w:pPr>
        <w:jc w:val="center"/>
        <w:ind w:left="4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w:t>
      </w:r>
      <w:r>
        <w:rPr>
          <w:rFonts w:ascii="Arial" w:cs="Arial" w:eastAsia="Arial" w:hAnsi="Arial"/>
          <w:sz w:val="13"/>
          <w:szCs w:val="13"/>
          <w:color w:val="auto"/>
        </w:rPr>
        <w:t>OROTHY</w:t>
      </w:r>
      <w:r>
        <w:rPr>
          <w:rFonts w:ascii="Arial" w:cs="Arial" w:eastAsia="Arial" w:hAnsi="Arial"/>
          <w:sz w:val="17"/>
          <w:szCs w:val="17"/>
          <w:color w:val="auto"/>
        </w:rPr>
        <w:t xml:space="preserve"> C. J</w:t>
      </w:r>
      <w:r>
        <w:rPr>
          <w:rFonts w:ascii="Arial" w:cs="Arial" w:eastAsia="Arial" w:hAnsi="Arial"/>
          <w:sz w:val="13"/>
          <w:szCs w:val="13"/>
          <w:color w:val="auto"/>
        </w:rPr>
        <w:t>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Dorothy C. Jenkins</w:t>
      </w:r>
    </w:p>
    <w:p>
      <w:pPr>
        <w:spacing w:after="0" w:line="199" w:lineRule="exact"/>
        <w:rPr>
          <w:sz w:val="20"/>
          <w:szCs w:val="20"/>
          <w:color w:val="auto"/>
        </w:rPr>
      </w:pPr>
    </w:p>
    <w:p>
      <w:pPr>
        <w:jc w:val="center"/>
        <w:ind w:left="48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AX</w:t>
      </w:r>
      <w:r>
        <w:rPr>
          <w:rFonts w:ascii="Arial" w:cs="Arial" w:eastAsia="Arial" w:hAnsi="Arial"/>
          <w:sz w:val="18"/>
          <w:szCs w:val="18"/>
          <w:color w:val="auto"/>
        </w:rPr>
        <w:t xml:space="preserve"> L. L</w:t>
      </w:r>
      <w:r>
        <w:rPr>
          <w:rFonts w:ascii="Arial" w:cs="Arial" w:eastAsia="Arial" w:hAnsi="Arial"/>
          <w:sz w:val="14"/>
          <w:szCs w:val="14"/>
          <w:color w:val="auto"/>
        </w:rPr>
        <w:t>UKENS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Max L. Lukens</w:t>
      </w:r>
    </w:p>
    <w:p>
      <w:pPr>
        <w:spacing w:after="0" w:line="199" w:lineRule="exact"/>
        <w:rPr>
          <w:sz w:val="20"/>
          <w:szCs w:val="20"/>
          <w:color w:val="auto"/>
        </w:rPr>
      </w:pPr>
    </w:p>
    <w:p>
      <w:pPr>
        <w:jc w:val="center"/>
        <w:ind w:left="48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 B</w:t>
      </w:r>
      <w:r>
        <w:rPr>
          <w:rFonts w:ascii="Arial" w:cs="Arial" w:eastAsia="Arial" w:hAnsi="Arial"/>
          <w:sz w:val="13"/>
          <w:szCs w:val="13"/>
          <w:color w:val="auto"/>
        </w:rPr>
        <w:t>RUCE</w:t>
      </w:r>
      <w:r>
        <w:rPr>
          <w:rFonts w:ascii="Arial" w:cs="Arial" w:eastAsia="Arial" w:hAnsi="Arial"/>
          <w:sz w:val="17"/>
          <w:szCs w:val="17"/>
          <w:color w:val="auto"/>
        </w:rPr>
        <w:t xml:space="preserve"> N</w:t>
      </w:r>
      <w:r>
        <w:rPr>
          <w:rFonts w:ascii="Arial" w:cs="Arial" w:eastAsia="Arial" w:hAnsi="Arial"/>
          <w:sz w:val="13"/>
          <w:szCs w:val="13"/>
          <w:color w:val="auto"/>
        </w:rPr>
        <w:t>ORTHCUTT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R. Bruce Northcutt</w:t>
      </w:r>
    </w:p>
    <w:p>
      <w:pPr>
        <w:spacing w:after="0" w:line="199" w:lineRule="exact"/>
        <w:rPr>
          <w:sz w:val="20"/>
          <w:szCs w:val="20"/>
          <w:color w:val="auto"/>
        </w:rPr>
      </w:pPr>
    </w:p>
    <w:p>
      <w:pPr>
        <w:jc w:val="center"/>
        <w:ind w:left="48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H. J</w:t>
      </w:r>
      <w:r>
        <w:rPr>
          <w:rFonts w:ascii="Arial" w:cs="Arial" w:eastAsia="Arial" w:hAnsi="Arial"/>
          <w:sz w:val="13"/>
          <w:szCs w:val="13"/>
          <w:color w:val="auto"/>
        </w:rPr>
        <w:t>OHN</w:t>
      </w:r>
      <w:r>
        <w:rPr>
          <w:rFonts w:ascii="Arial" w:cs="Arial" w:eastAsia="Arial" w:hAnsi="Arial"/>
          <w:sz w:val="17"/>
          <w:szCs w:val="17"/>
          <w:color w:val="auto"/>
        </w:rPr>
        <w:t xml:space="preserve"> R</w:t>
      </w:r>
      <w:r>
        <w:rPr>
          <w:rFonts w:ascii="Arial" w:cs="Arial" w:eastAsia="Arial" w:hAnsi="Arial"/>
          <w:sz w:val="13"/>
          <w:szCs w:val="13"/>
          <w:color w:val="auto"/>
        </w:rPr>
        <w:t>ILEY</w:t>
      </w:r>
      <w:r>
        <w:rPr>
          <w:rFonts w:ascii="Arial" w:cs="Arial" w:eastAsia="Arial" w:hAnsi="Arial"/>
          <w:sz w:val="17"/>
          <w:szCs w:val="17"/>
          <w:color w:val="auto"/>
        </w:rPr>
        <w:t>, J</w:t>
      </w:r>
      <w:r>
        <w:rPr>
          <w:rFonts w:ascii="Arial" w:cs="Arial" w:eastAsia="Arial" w:hAnsi="Arial"/>
          <w:sz w:val="13"/>
          <w:szCs w:val="13"/>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H. John Riley, Jr.</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2120"/>
        <w:spacing w:after="0"/>
        <w:rPr>
          <w:sz w:val="20"/>
          <w:szCs w:val="20"/>
          <w:color w:val="auto"/>
        </w:rPr>
      </w:pPr>
      <w:r>
        <w:rPr>
          <w:rFonts w:ascii="Arial" w:cs="Arial" w:eastAsia="Arial" w:hAnsi="Arial"/>
          <w:sz w:val="14"/>
          <w:szCs w:val="14"/>
          <w:b w:val="1"/>
          <w:bCs w:val="1"/>
          <w:u w:val="single" w:color="auto"/>
          <w:color w:val="auto"/>
        </w:rPr>
        <w:t>Title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140" w:right="980" w:hanging="134"/>
        <w:spacing w:after="0" w:line="342" w:lineRule="auto"/>
        <w:rPr>
          <w:sz w:val="20"/>
          <w:szCs w:val="20"/>
          <w:color w:val="auto"/>
        </w:rPr>
      </w:pPr>
      <w:r>
        <w:rPr>
          <w:rFonts w:ascii="Arial" w:cs="Arial" w:eastAsia="Arial" w:hAnsi="Arial"/>
          <w:sz w:val="16"/>
          <w:szCs w:val="16"/>
          <w:color w:val="auto"/>
        </w:rPr>
        <w:t>Senior Vice President, Chief Financial Officer and Treasurer (Principal Financial Officer)</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and Chief Accounting Officer</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(Principal Accounting Officer)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500"/>
        <w:spacing w:after="0"/>
        <w:rPr>
          <w:sz w:val="20"/>
          <w:szCs w:val="20"/>
          <w:color w:val="auto"/>
        </w:rPr>
      </w:pPr>
      <w:r>
        <w:rPr>
          <w:rFonts w:ascii="Arial" w:cs="Arial" w:eastAsia="Arial" w:hAnsi="Arial"/>
          <w:sz w:val="14"/>
          <w:szCs w:val="14"/>
          <w:b w:val="1"/>
          <w:bCs w:val="1"/>
          <w:u w:val="single" w:color="auto"/>
          <w:color w:val="auto"/>
        </w:rPr>
        <w:t>Date</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2016</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2016</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2016</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2016</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2016</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2016</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2016</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2016</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2016</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2016</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2016</w:t>
      </w:r>
    </w:p>
    <w:p>
      <w:pPr>
        <w:spacing w:after="0" w:line="344" w:lineRule="exact"/>
        <w:rPr>
          <w:sz w:val="20"/>
          <w:szCs w:val="20"/>
          <w:color w:val="auto"/>
        </w:rPr>
      </w:pPr>
    </w:p>
    <w:p>
      <w:pPr>
        <w:sectPr>
          <w:pgSz w:w="11900" w:h="16838" w:orient="portrait"/>
          <w:cols w:equalWidth="0" w:num="3">
            <w:col w:w="4000" w:space="720"/>
            <w:col w:w="4300" w:space="720"/>
            <w:col w:w="1620"/>
          </w:cols>
          <w:pgMar w:left="240" w:top="121" w:right="299" w:bottom="1440" w:gutter="0" w:footer="0" w:header="0"/>
          <w:type w:val="continuous"/>
        </w:sect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360"/>
          </w:cols>
          <w:pgMar w:left="240" w:top="121" w:right="299" w:bottom="1440" w:gutter="0" w:footer="0" w:header="0"/>
          <w:type w:val="continuous"/>
        </w:sectPr>
      </w:pPr>
    </w:p>
    <w:bookmarkStart w:id="117" w:name="page118"/>
    <w:bookmarkEnd w:id="1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10640" w:type="dxa"/>
            <w:vAlign w:val="bottom"/>
            <w:gridSpan w:val="3"/>
          </w:tcPr>
          <w:p>
            <w:pPr>
              <w:ind w:left="560"/>
              <w:spacing w:after="0"/>
              <w:rPr>
                <w:sz w:val="20"/>
                <w:szCs w:val="20"/>
                <w:color w:val="auto"/>
              </w:rPr>
            </w:pPr>
            <w:r>
              <w:rPr>
                <w:rFonts w:ascii="Arial" w:cs="Arial" w:eastAsia="Arial" w:hAnsi="Arial"/>
                <w:sz w:val="14"/>
                <w:szCs w:val="14"/>
                <w:b w:val="1"/>
                <w:bCs w:val="1"/>
                <w:color w:val="auto"/>
              </w:rPr>
              <w:t>Exhibit</w:t>
            </w:r>
          </w:p>
        </w:tc>
      </w:tr>
      <w:tr>
        <w:trPr>
          <w:trHeight w:val="20"/>
        </w:trPr>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r>
      <w:tr>
        <w:trPr>
          <w:trHeight w:val="371"/>
        </w:trPr>
        <w:tc>
          <w:tcPr>
            <w:tcW w:w="700" w:type="dxa"/>
            <w:vAlign w:val="bottom"/>
          </w:tcPr>
          <w:p>
            <w:pPr>
              <w:spacing w:after="0"/>
              <w:rPr>
                <w:sz w:val="20"/>
                <w:szCs w:val="20"/>
                <w:color w:val="auto"/>
              </w:rPr>
            </w:pPr>
            <w:r>
              <w:rPr>
                <w:rFonts w:ascii="Arial" w:cs="Arial" w:eastAsia="Arial" w:hAnsi="Arial"/>
                <w:sz w:val="18"/>
                <w:szCs w:val="18"/>
                <w:color w:val="auto"/>
              </w:rPr>
              <w:t>2.1</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Share Purchase Agreement dated as of May 28, 2014 by and among Westlake Germany GmbH &amp; Co. KG and various entities associated</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with Advent International Corporation (incorporated by reference to Westlake's Quarterly Report on Form 10-Q for the quarter ended June</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30, 2014, filed on August 6, 2014, File No. 1-32260).</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5"/>
              </w:rPr>
              <w:t>Certificate of Incorporation of Westlake as filed with the Delaware Secretary of State on August 6, 2004 (incorporated by reference to</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Westlake's Registration Statement on Form S-1/A, filed on August 9, 2004).</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3"/>
              </w:rPr>
              <w:t>Certificate of Amendment to the Amended and Restated Certificate of Incorporation of Westlake as filed with the Delaware Secretary of</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State on May 16, 2014 (incorporated by reference to Westlake's Current Report on Form 8-K, filed on May 16, 2014, File No. 001-32260).</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3.3</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Bylaws of Westlake (incorporated by reference to Westlake's Registration Statement on Form S-1/A, filed on August 9, 2004).</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4.1</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89"/>
              </w:rPr>
              <w:t>Indenture dated as of January 1, 2006 by and among Westlake, the potential subsidiary guarantors listed therein and JPMorgan Chase Bank,</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8"/>
              </w:rPr>
              <w:t>National Association, as trustee (incorporated by reference to Westlake's Current Report on Form 8-K, filed on January 13, 2006,</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File No. 1-32260).</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4.2</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0"/>
              </w:rPr>
              <w:t>First Supplemental Indenture dated as of January 13, 2006 by and among Westlake, the subsidiary guarantors party thereto and JPMorgan</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2"/>
              </w:rPr>
              <w:t>Chase Bank, National Association, as trustee (incorporated by reference to Westlake's Current Report on Form 8-K, filed on January 13,</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2006, File No. 1-32260).</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4.3</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Second Supplemental Indenture, dated as of November 1, 2007, among the Company, the Subsidiary Guarantors (as defined therein) and</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4"/>
              </w:rPr>
              <w:t>The Bank of New York Trust Company, N.A., as trustee (incorporated by reference to Westlake's Current Report on Form 8-K, filed on</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December 18, 2007, File No. 1-32260).</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4.4</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Form of 6 ¾% senior notes due 2032 (included in Exhibit 4.3).</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4.5</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0"/>
              </w:rPr>
              <w:t>Third Supplemental Indenture, dated as of July 2, 2010, among the Company, the Subsidiary Guarantors (as defined therein) and The Bank</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of New York Mellon Trust Company, N.A., as trustee (incorporated by reference to Westlake's Current Report on Form 8-K, filed on July 8,</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2010, File No. 1-32260).</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4.6</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Form of 6 ½% senior notes due 2029 (included in Exhibit 4.5).</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4.7</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2"/>
              </w:rPr>
              <w:t>Fourth Supplemental Indenture, dated as of December 2, 2010, among the Company, the Subsidiary Guarantors (as defined therein) and</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The Bank of New York Mellon Trust Company, N.A., as trustee (incorporated by reference to Westlake's Current Report on Form 8-K, filed</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on December 8, 2010, File No. 1-32260).</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4.8</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Form of 6 ½% senior notes due 2035 (the "2035 GO Zone Notes") (included in Exhibit 4.7).</w:t>
            </w:r>
          </w:p>
        </w:tc>
      </w:tr>
      <w:tr>
        <w:trPr>
          <w:trHeight w:val="391"/>
        </w:trPr>
        <w:tc>
          <w:tcPr>
            <w:tcW w:w="700" w:type="dxa"/>
            <w:vAlign w:val="bottom"/>
          </w:tcPr>
          <w:p>
            <w:pPr>
              <w:spacing w:after="0"/>
              <w:rPr>
                <w:sz w:val="20"/>
                <w:szCs w:val="20"/>
                <w:color w:val="auto"/>
              </w:rPr>
            </w:pPr>
            <w:r>
              <w:rPr>
                <w:rFonts w:ascii="Arial" w:cs="Arial" w:eastAsia="Arial" w:hAnsi="Arial"/>
                <w:sz w:val="18"/>
                <w:szCs w:val="18"/>
                <w:color w:val="auto"/>
              </w:rPr>
              <w:t>4.9</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0"/>
              </w:rPr>
              <w:t>Fifth Supplemental Indenture, dated as of December 2, 2010, among the Company, the Subsidiary Guarantors (as defined therein) and The</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2"/>
              </w:rPr>
              <w:t>Bank of New York Mellon Trust Company, N.A., as trustee (incorporated by reference to Westlake's Current Report on Form 8-K, filed on</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December 8, 2010, File No. 1-32260).</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4.10</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Form of 6 ½% senior notes due 2035 (the "2035 IKE Zone Notes") (included in Exhibit 4.9).</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4.11</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Supplemental Indenture, dated as of December 31, 2007, among the Company, WPT LLC, Westlake Polymers LLC, Westlake</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4"/>
              </w:rPr>
              <w:t>Petrochemicals LLC, Westlake Styrene LLC, the other subsidiary guarantors party thereto and The Bank of New York Trust Company,</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line="216" w:lineRule="exact"/>
              <w:rPr>
                <w:sz w:val="20"/>
                <w:szCs w:val="20"/>
                <w:color w:val="auto"/>
              </w:rPr>
            </w:pPr>
            <w:r>
              <w:rPr>
                <w:rFonts w:ascii="Arial" w:cs="Arial" w:eastAsia="Arial" w:hAnsi="Arial"/>
                <w:sz w:val="18"/>
                <w:szCs w:val="18"/>
                <w:color w:val="auto"/>
                <w:w w:val="93"/>
              </w:rPr>
              <w:t xml:space="preserve">N.A. related to the 6 </w:t>
            </w:r>
            <w:r>
              <w:rPr>
                <w:rFonts w:ascii="Arial" w:cs="Arial" w:eastAsia="Arial" w:hAnsi="Arial"/>
                <w:sz w:val="25"/>
                <w:szCs w:val="25"/>
                <w:color w:val="auto"/>
                <w:w w:val="93"/>
                <w:vertAlign w:val="superscript"/>
              </w:rPr>
              <w:t>5</w:t>
            </w:r>
            <w:r>
              <w:rPr>
                <w:rFonts w:ascii="Arial" w:cs="Arial" w:eastAsia="Arial" w:hAnsi="Arial"/>
                <w:sz w:val="18"/>
                <w:szCs w:val="18"/>
                <w:color w:val="auto"/>
                <w:w w:val="93"/>
              </w:rPr>
              <w:t>/</w:t>
            </w:r>
            <w:r>
              <w:rPr>
                <w:rFonts w:ascii="Arial" w:cs="Arial" w:eastAsia="Arial" w:hAnsi="Arial"/>
                <w:sz w:val="14"/>
                <w:szCs w:val="14"/>
                <w:color w:val="auto"/>
                <w:w w:val="93"/>
              </w:rPr>
              <w:t>8</w:t>
            </w:r>
            <w:r>
              <w:rPr>
                <w:rFonts w:ascii="Arial" w:cs="Arial" w:eastAsia="Arial" w:hAnsi="Arial"/>
                <w:sz w:val="18"/>
                <w:szCs w:val="18"/>
                <w:color w:val="auto"/>
                <w:w w:val="93"/>
              </w:rPr>
              <w:t>% senior notes (incorporated by reference to Exhibit 4.6 to Westlake's Annual Report on Form 10-K for the year</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ended December 31, 2007, filed on February 20, 2008, File No. 1-32260).</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4.12</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Supplemental Indenture, dated as of December 31, 2007, among the Company, WPT LLC, Westlake Polymers LLC, Westlake</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4"/>
              </w:rPr>
              <w:t>Petrochemicals LLC, Westlake Styrene LLC, the other subsidiary guarantors party thereto and The Bank of New York Trust Company,</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4"/>
              </w:rPr>
              <w:t>N.A. related to the 6 ¾% senior notes (incorporated by reference to Exhibit 4.7 to Westlake's Annual Report on Form 10-K for the year</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ended December 31, 2007, filed on February 20, 2008, File No. 1-32260).</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4.13</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89"/>
              </w:rPr>
              <w:t>Sixth Supplemental Indenture, dated as of July 17, 2012, among the Company, the Subsidiary Guarantors (as defined therein) and The Bank</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2"/>
              </w:rPr>
              <w:t>of New York Mellon Trust Company, N.A., as trustee (incorporated by reference to Exhibit 4.2 to the Company's Current Report on Form</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8-K, filed with the Securities and Exchange Commission on July 16, 2012, File No. 1-32260).</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4.14</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Form of the Company's 3.60% Senior Notes due 2022 (included in Exhibit 4.13).</w:t>
            </w:r>
          </w:p>
        </w:tc>
      </w:tr>
    </w:tbl>
    <w:p>
      <w:pPr>
        <w:spacing w:after="0" w:line="200" w:lineRule="exact"/>
        <w:rPr>
          <w:sz w:val="20"/>
          <w:szCs w:val="20"/>
          <w:color w:val="auto"/>
        </w:rPr>
      </w:pPr>
    </w:p>
    <w:p>
      <w:pPr>
        <w:sectPr>
          <w:pgSz w:w="11900" w:h="16838" w:orient="portrait"/>
          <w:cols w:equalWidth="0" w:num="1">
            <w:col w:w="11380"/>
          </w:cols>
          <w:pgMar w:left="240" w:top="121" w:right="279" w:bottom="1440" w:gutter="0" w:footer="0" w:header="0"/>
        </w:sectPr>
      </w:pP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380"/>
          </w:cols>
          <w:pgMar w:left="240" w:top="121" w:right="279"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161"/>
        </w:trPr>
        <w:tc>
          <w:tcPr>
            <w:tcW w:w="116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20" w:type="dxa"/>
            <w:vAlign w:val="bottom"/>
          </w:tcPr>
          <w:p>
            <w:pPr>
              <w:spacing w:after="0"/>
              <w:rPr>
                <w:sz w:val="14"/>
                <w:szCs w:val="14"/>
                <w:color w:val="auto"/>
              </w:rPr>
            </w:pPr>
          </w:p>
        </w:tc>
      </w:tr>
      <w:tr>
        <w:trPr>
          <w:trHeight w:val="615"/>
        </w:trPr>
        <w:tc>
          <w:tcPr>
            <w:tcW w:w="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0"/>
                <w:szCs w:val="20"/>
                <w:color w:val="auto"/>
              </w:rPr>
            </w:pPr>
            <w:r>
              <w:rPr>
                <w:rFonts w:ascii="Arial" w:cs="Arial" w:eastAsia="Arial" w:hAnsi="Arial"/>
                <w:sz w:val="14"/>
                <w:szCs w:val="14"/>
                <w:b w:val="1"/>
                <w:bCs w:val="1"/>
                <w:color w:val="auto"/>
                <w:w w:val="92"/>
              </w:rPr>
              <w:t>Exhibit No.</w:t>
            </w: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4"/>
                <w:szCs w:val="14"/>
                <w:b w:val="1"/>
                <w:bCs w:val="1"/>
                <w:color w:val="auto"/>
              </w:rPr>
              <w:t>Exhibit</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r>
      <w:tr>
        <w:trPr>
          <w:trHeight w:val="371"/>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0"/>
              </w:rPr>
              <w:t>Seventh Supplemental Indenture, dated as of February 12, 2013, among the Company, the Subsidiary Guarantors (as defined therein) and</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1"/>
              </w:rPr>
              <w:t>The Bank of New York Mellon Trust Company, N.A., as trustee (incorporated by reference to Exhibit 4.16 to Westlake's Annual Report on</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rPr>
              <w:t>Form 10-K for the year ended December 31, 2012, filed on February 22, 2013,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4.16</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2"/>
              </w:rPr>
              <w:t>Supplemental Indenture, dated as of May 1, 2013, among North American Specialty Products LLC, a Delaware limited liability company,</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3"/>
              </w:rPr>
              <w:t>the Company, the other Subsidiary Guarantors (as defined therein) and The Bank of New York Mellon Trust Company, N.A., as trustee</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9"/>
              </w:rPr>
              <w:t>(incorporated by reference to Exhibit 4.2 to Westlake's Current Report on Form 8-K, filed on March 29, 2013, File No. 1-32260).</w:t>
            </w:r>
          </w:p>
        </w:tc>
      </w:tr>
      <w:tr>
        <w:trPr>
          <w:trHeight w:val="593"/>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2"/>
              </w:rPr>
              <w:t>Supplemental Indenture, dated as of June 1, 2013, among Westlake Pipeline Investments LLC, a Delaware limited liability company, the</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6"/>
              </w:rPr>
              <w:t>Company, the other Subsidiary Guarantors (as defined therein) and The Bank of New York Mellon Trust Company, N.A., as trustee</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9"/>
              </w:rPr>
              <w:t>(incorporated by reference to Exhibit 4.3 to Westlake's Current Report on Form 8-K, filed on March 29, 2013, File No. 1-32260).</w:t>
            </w:r>
          </w:p>
        </w:tc>
      </w:tr>
      <w:tr>
        <w:trPr>
          <w:trHeight w:val="593"/>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4"/>
              </w:rPr>
              <w:t>Supplemental Indenture, dated as of June 1, 2013, among Westlake NG IV Corporation, a Delaware corporation, and Westlake NG V</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5"/>
              </w:rPr>
              <w:t>Corporation, a Delaware corporation, the Company, the other Subsidiary Guarantors (as defined therein) and The Bank of New York</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5"/>
              </w:rPr>
              <w:t>Mellon Trust Company, N.A., as trustee (incorporated by reference to Exhibit 4.4 to Westlake's Current Report on Form 8-K, filed on</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rPr>
              <w:t>March 29, 2013,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4.19</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0"/>
              </w:rPr>
              <w:t>Supplemental Indenture dated as of July 17, 2014 among Westlake Chemical OpCo, LP, the Company, the other Subsidiary Guarantors (as</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3"/>
              </w:rPr>
              <w:t>defined therein) and The Bank of New York Mellon Trust Company, N.A., as trustee (incorporated by reference to Westlake's Quarterly</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rPr>
              <w:t>Report on Form 10-Q for the quarter ended June 30, 2014, filed on August 6, 2014, File No. 1-32260).</w:t>
            </w:r>
          </w:p>
        </w:tc>
      </w:tr>
      <w:tr>
        <w:trPr>
          <w:trHeight w:val="377"/>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3"/>
              </w:rPr>
              <w:t>Westlake and its subsidiaries are party to other long-term debt instruments not filed herewith under which the total amount of securities</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0"/>
              </w:rPr>
              <w:t>authorized does not exceed 10% of the total assets of Westlake and its subsidiaries on a consolidated basis. Pursuant to paragraph 4(iii)(A)</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rPr>
              <w:t>of Item 601(b) of Regulation S-K, Westlake agrees to furnish a copy of such instruments to the SEC upon request.</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1"/>
              </w:rPr>
              <w:t>Third Amended and Restated Credit Agreement dated as of July 17, 2014 by and among the financial institutions party thereto, as lenders,</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2"/>
              </w:rPr>
              <w:t>Bank of America, N.A., as agent, and Westlake Chemical Corporation and certain of its domestic subsidiaries, as borrowers, relating to a</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3"/>
              </w:rPr>
              <w:t>$400.0 million senior secured revolving credit facility (incorporated by reference to Westlake's Current Report on Form 8-K, filed on July</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rPr>
              <w:t>17, 2014, File No. 001-32260).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5"/>
              </w:rPr>
              <w:t>Borrower Joinder Agreement, dated as of May 1, 2013, between North American Specialty Products LLC, a Delaware limited liability</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3"/>
              </w:rPr>
              <w:t>company, the Existing Borrowers (as defined therein) and Bank of America, N.A., as administrative agent (incorporated by reference to</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rPr>
              <w:t>Exhibit 4.1 to Westlake's Current Report on Form 8-K, filed on March 29, 2013, File No. 1-32260).</w:t>
            </w:r>
          </w:p>
        </w:tc>
      </w:tr>
      <w:tr>
        <w:trPr>
          <w:trHeight w:val="593"/>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5"/>
              </w:rPr>
              <w:t>Loan Agreement, dated as of November 1, 2007, by and between the Company and the Louisiana Local Government Environmental</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9"/>
              </w:rPr>
              <w:t>Facilities and Community Development Authority (incorporated by reference to Westlake's Current Report on Form 8-K, filed on</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rPr>
              <w:t>December 18, 2007,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3"/>
              </w:rPr>
              <w:t>Amended and Restated Loan Agreement, dated as of July 2, 2010, by and between the Company and the Louisiana Local Government</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3"/>
              </w:rPr>
              <w:t>Environmental Facilities and Community Development Authority (incorporated by reference to Westlake's Current Report on Form 8-K,</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rPr>
              <w:t>filed on July 8, 2010,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5"/>
              </w:rPr>
              <w:t>Loan Agreement, dated as of November 1, 2010, by and between the Company and the Louisiana Local Government Environmental</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3"/>
              </w:rPr>
              <w:t>Facilities and Community Development Authority, relating to the 2035 GO Zone Notes (incorporated by reference to Westlake's Current</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rPr>
              <w:t>Report on Form 8-K, filed on December 8, 2010,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5"/>
              </w:rPr>
              <w:t>Loan Agreement, dated as of November 1, 2010, by and between the Company and the Louisiana Local Government Environmental</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3"/>
              </w:rPr>
              <w:t>Facilities and Community Development Authority, relating to the 2035 IKE Zone Notes (incorporated by reference to Westlake's Current</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rPr>
              <w:t>Report on Form 8-K, filed on December 8, 2010,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1"/>
              </w:rPr>
              <w:t>Form of Registration Rights Agreement between Westlake and TTWF LP (incorporated by reference to Westlake's Registration Statement</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rPr>
              <w:t>on Form S-1/A, filed on July 2, 2004).</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9"/>
              </w:rPr>
              <w:t>Senior Unsecured Revolving Credit Agreement between Westlake Chemical OpCo LP and Westlake Development Corporation</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w w:val="90"/>
              </w:rPr>
              <w:t>(incorporated by reference to Exhibit 10.13 to Westlake Chemical Partners LP's Registration Statement on Form S-1 filed on June 30, 2014,</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3"/>
          </w:tcPr>
          <w:p>
            <w:pPr>
              <w:ind w:left="140"/>
              <w:spacing w:after="0"/>
              <w:rPr>
                <w:sz w:val="20"/>
                <w:szCs w:val="20"/>
                <w:color w:val="auto"/>
              </w:rPr>
            </w:pPr>
            <w:r>
              <w:rPr>
                <w:rFonts w:ascii="Arial" w:cs="Arial" w:eastAsia="Arial" w:hAnsi="Arial"/>
                <w:sz w:val="18"/>
                <w:szCs w:val="18"/>
                <w:color w:val="auto"/>
              </w:rPr>
              <w:t>File No. 1-36567).</w:t>
            </w:r>
          </w:p>
        </w:tc>
      </w:tr>
    </w:tbl>
    <w:p>
      <w:pPr>
        <w:spacing w:after="0" w:line="200" w:lineRule="exact"/>
        <w:rPr>
          <w:sz w:val="20"/>
          <w:szCs w:val="20"/>
          <w:color w:val="auto"/>
        </w:rPr>
      </w:pPr>
    </w:p>
    <w:p>
      <w:pPr>
        <w:sectPr>
          <w:pgSz w:w="11900" w:h="16838" w:orient="portrait"/>
          <w:cols w:equalWidth="0" w:num="1">
            <w:col w:w="11360"/>
          </w:cols>
          <w:pgMar w:left="240" w:top="113" w:right="299" w:bottom="1440" w:gutter="0" w:footer="0" w:header="0"/>
        </w:sectPr>
      </w:pP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360"/>
          </w:cols>
          <w:pgMar w:left="240" w:top="113" w:right="299" w:bottom="144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161"/>
        </w:trPr>
        <w:tc>
          <w:tcPr>
            <w:tcW w:w="116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0" w:type="dxa"/>
            <w:vAlign w:val="bottom"/>
          </w:tcPr>
          <w:p>
            <w:pPr>
              <w:spacing w:after="0"/>
              <w:rPr>
                <w:sz w:val="14"/>
                <w:szCs w:val="14"/>
                <w:color w:val="auto"/>
              </w:rPr>
            </w:pPr>
          </w:p>
        </w:tc>
      </w:tr>
      <w:tr>
        <w:trPr>
          <w:trHeight w:val="615"/>
        </w:trPr>
        <w:tc>
          <w:tcPr>
            <w:tcW w:w="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0"/>
                <w:szCs w:val="20"/>
                <w:color w:val="auto"/>
              </w:rPr>
            </w:pPr>
            <w:r>
              <w:rPr>
                <w:rFonts w:ascii="Arial" w:cs="Arial" w:eastAsia="Arial" w:hAnsi="Arial"/>
                <w:sz w:val="14"/>
                <w:szCs w:val="14"/>
                <w:b w:val="1"/>
                <w:bCs w:val="1"/>
                <w:color w:val="auto"/>
                <w:w w:val="92"/>
              </w:rPr>
              <w:t>Exhibit No.</w:t>
            </w: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4"/>
                <w:szCs w:val="14"/>
                <w:b w:val="1"/>
                <w:bCs w:val="1"/>
                <w:color w:val="auto"/>
              </w:rPr>
              <w:t>Exhibit</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r>
      <w:tr>
        <w:trPr>
          <w:trHeight w:val="371"/>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4"/>
              </w:rPr>
              <w:t>Senior Unsecured Revolving Credit Agreement by and among Westlake Chemical Partners GP LLC and Westlake Chemical Finance</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2"/>
              </w:rPr>
              <w:t>Corporation, dated as of April 29, 2015 (incorporated by reference to Exhibit 10.1 to Westlake Chemical Partners LP's Current Report on</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Form 8-K filed on April 30, 2015, File No. 1-36567).</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0"/>
              </w:rPr>
              <w:t>Westlake Chemical Corporation 2013 Omnibus Incentive Plan (as amended and restated as of May 17, 2013) (incorporated by reference to</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Exhibit 10.1 to the Company's Current Report on Form 8-K filed on May 22, 2013, File No.1-32260).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0"/>
              </w:rPr>
              <w:t>Form of Restricted Stock Award Letter for Special February 2007 Awards (incorporated by reference to Westlake's Current Report on Form</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8-K, filed on March 1, 2007,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1"/>
              </w:rPr>
              <w:t>Form of Stock Option Award Letter for Special February 2007 Awards (incorporated by reference to Westlake's Current Report on Form 8-</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K, filed on March 1, 2007,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3"/>
              </w:rPr>
              <w:t>Form of Long-Term Cash Performance Award Letter effective as of February 18, 2011 (incorporated by reference to Westlake's Annual</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Report on Form 10-K for the year ended December 31, 2010, filed on February 24, 2011,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10.14+</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2"/>
              </w:rPr>
              <w:t>Westlake Chemical Corporation Amended and Restated Annual Incentive Plan adopted by the Compensation Committee of the Board of</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3"/>
              </w:rPr>
              <w:t>Directors on March 24, 2011 (incorporated by reference to Westlake's Quarterly Report on Form 10-Q for the quarter ended March 31,</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2011, filed on May 4, 2011,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10.15+</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3"/>
              </w:rPr>
              <w:t>Form of Restricted Stock Units Award Letter effective as of February 15, 2013 (incorporated by reference to Exhibit 10.29 to Westlake's</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Annual Report on Form 10-K for the year ended December 31, 2012, filed on February 22, 2013,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10.16+</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2"/>
              </w:rPr>
              <w:t>Form of Stock Option Award Letter for 2015 Executive Officer Awards (incorporated by reference to Exhibit 10.3 to Westlake's Quarterly</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Report on Form 10-Q for the quarter ended March 31, 2015,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3"/>
              </w:rPr>
              <w:t>Form of Restricted Stock Units Award Letter for 2015 Executive Officer Awards (incorporated by reference to Exhibit 10.4 to Westlake's</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Quarterly Report on Form 10-Q for the quarter ended March 31, 2015,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5"/>
              </w:rPr>
              <w:t>Form of Long-Term Cash Performance Award Letter for 2015 Executive Officer Awards (incorporated by reference to Exhibit 10.5 to</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Westlake's Quarterly Report on Form 10-Q for the quarter ended March 31, 2015, File No. 1-32260).</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21†</w:t>
            </w: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Subsidiaries of Westlake.</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23.1†</w:t>
            </w: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Consent of PricewaterhouseCoopers LLP.</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31.1†</w:t>
            </w: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Rule 13a-14(a) / 15d-14(a) Certification (Principal Executive Officer).</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31.2†</w:t>
            </w: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Rule 13a-14(a) / 15d-14(a) Certification (Principal Financial Officer).</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32.1†</w:t>
            </w: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Section 1350 Certification (Principal Executive Officer and Principal Financial Officer).</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99.1†</w:t>
            </w: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Financial Statements of Non Wholly-Owned Subsidiary Guarantor (Westlake Chemical OpCo LP)</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XBRL Instance Document.</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4" w:lineRule="exact"/>
        <w:rPr>
          <w:sz w:val="20"/>
          <w:szCs w:val="20"/>
          <w:color w:val="auto"/>
        </w:rPr>
      </w:pPr>
    </w:p>
    <w:p>
      <w:pPr>
        <w:ind w:left="420" w:hanging="412"/>
        <w:spacing w:after="0"/>
        <w:tabs>
          <w:tab w:leader="none" w:pos="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20" w:hanging="412"/>
        <w:spacing w:after="0"/>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ectPr>
          <w:pgSz w:w="11900" w:h="16838" w:orient="portrait"/>
          <w:cols w:equalWidth="0" w:num="1">
            <w:col w:w="11340"/>
          </w:cols>
          <w:pgMar w:left="240" w:top="114" w:right="31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340"/>
          </w:cols>
          <w:pgMar w:left="240" w:top="114" w:right="319" w:bottom="1440" w:gutter="0" w:footer="0" w:header="0"/>
          <w:type w:val="continuous"/>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WESTLAKE *</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State or Other Jurisdiction</w:t>
            </w: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Name of Subsidiary</w:t>
            </w:r>
          </w:p>
        </w:tc>
        <w:tc>
          <w:tcPr>
            <w:tcW w:w="120" w:type="dxa"/>
            <w:vAlign w:val="bottom"/>
            <w:vMerge w:val="restart"/>
          </w:tcPr>
          <w:p>
            <w:pPr>
              <w:spacing w:after="0"/>
              <w:rPr>
                <w:sz w:val="12"/>
                <w:szCs w:val="12"/>
                <w:color w:val="auto"/>
              </w:rPr>
            </w:pPr>
          </w:p>
        </w:tc>
        <w:tc>
          <w:tcPr>
            <w:tcW w:w="3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of Incorporation or</w:t>
            </w:r>
          </w:p>
        </w:tc>
        <w:tc>
          <w:tcPr>
            <w:tcW w:w="38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Names Doing Business</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Organization</w:t>
            </w:r>
          </w:p>
        </w:tc>
        <w:tc>
          <w:tcPr>
            <w:tcW w:w="100" w:type="dxa"/>
            <w:vAlign w:val="bottom"/>
          </w:tcPr>
          <w:p>
            <w:pPr>
              <w:spacing w:after="0"/>
              <w:rPr>
                <w:sz w:val="16"/>
                <w:szCs w:val="16"/>
                <w:color w:val="auto"/>
              </w:rPr>
            </w:pPr>
          </w:p>
        </w:tc>
        <w:tc>
          <w:tcPr>
            <w:tcW w:w="3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North American Pipe Corporation</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North American Pipe Corporation</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and NAPCO</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North American Specialty Products LLC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North American Specialty Products LLC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Vinnolit Benelux-France B.V.B.A.</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Dendermonde, Belgium</w:t>
            </w:r>
          </w:p>
        </w:tc>
        <w:tc>
          <w:tcPr>
            <w:tcW w:w="3880" w:type="dxa"/>
            <w:vAlign w:val="bottom"/>
          </w:tcPr>
          <w:p>
            <w:pPr>
              <w:ind w:left="40"/>
              <w:spacing w:after="0"/>
              <w:rPr>
                <w:sz w:val="20"/>
                <w:szCs w:val="20"/>
                <w:color w:val="auto"/>
              </w:rPr>
            </w:pPr>
            <w:r>
              <w:rPr>
                <w:rFonts w:ascii="Arial" w:cs="Arial" w:eastAsia="Arial" w:hAnsi="Arial"/>
                <w:sz w:val="18"/>
                <w:szCs w:val="18"/>
                <w:color w:val="auto"/>
              </w:rPr>
              <w:t>Vinnolit Benelux-France B.V.B.A.</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Vinnolit GmbH &amp; Co. KG</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Ismaning, Germany</w:t>
            </w:r>
          </w:p>
        </w:tc>
        <w:tc>
          <w:tcPr>
            <w:tcW w:w="3880" w:type="dxa"/>
            <w:vAlign w:val="bottom"/>
          </w:tcPr>
          <w:p>
            <w:pPr>
              <w:ind w:left="40"/>
              <w:spacing w:after="0"/>
              <w:rPr>
                <w:sz w:val="20"/>
                <w:szCs w:val="20"/>
                <w:color w:val="auto"/>
              </w:rPr>
            </w:pPr>
            <w:r>
              <w:rPr>
                <w:rFonts w:ascii="Arial" w:cs="Arial" w:eastAsia="Arial" w:hAnsi="Arial"/>
                <w:sz w:val="18"/>
                <w:szCs w:val="18"/>
                <w:color w:val="auto"/>
              </w:rPr>
              <w:t>Vinnolit GmbH &amp; Co. KG</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Vinnolit Hillhouse Ltd.</w:t>
            </w: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Lancashire, England</w:t>
            </w:r>
          </w:p>
        </w:tc>
        <w:tc>
          <w:tcPr>
            <w:tcW w:w="3880" w:type="dxa"/>
            <w:vAlign w:val="bottom"/>
          </w:tcPr>
          <w:p>
            <w:pPr>
              <w:ind w:left="40"/>
              <w:spacing w:after="0"/>
              <w:rPr>
                <w:sz w:val="20"/>
                <w:szCs w:val="20"/>
                <w:color w:val="auto"/>
              </w:rPr>
            </w:pPr>
            <w:r>
              <w:rPr>
                <w:rFonts w:ascii="Arial" w:cs="Arial" w:eastAsia="Arial" w:hAnsi="Arial"/>
                <w:sz w:val="18"/>
                <w:szCs w:val="18"/>
                <w:color w:val="auto"/>
              </w:rPr>
              <w:t>Vinnolit Hillhouse Ltd.</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Vinnolit Italia S.r.L.</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Milan, Italy</w:t>
            </w:r>
          </w:p>
        </w:tc>
        <w:tc>
          <w:tcPr>
            <w:tcW w:w="3880" w:type="dxa"/>
            <w:vAlign w:val="bottom"/>
          </w:tcPr>
          <w:p>
            <w:pPr>
              <w:ind w:left="40"/>
              <w:spacing w:after="0"/>
              <w:rPr>
                <w:sz w:val="20"/>
                <w:szCs w:val="20"/>
                <w:color w:val="auto"/>
              </w:rPr>
            </w:pPr>
            <w:r>
              <w:rPr>
                <w:rFonts w:ascii="Arial" w:cs="Arial" w:eastAsia="Arial" w:hAnsi="Arial"/>
                <w:sz w:val="18"/>
                <w:szCs w:val="18"/>
                <w:color w:val="auto"/>
              </w:rPr>
              <w:t>Vinnolit Italia S.r.L.</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Vinnolit Ltd.</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United Kingdom</w:t>
            </w:r>
          </w:p>
        </w:tc>
        <w:tc>
          <w:tcPr>
            <w:tcW w:w="3880" w:type="dxa"/>
            <w:vAlign w:val="bottom"/>
          </w:tcPr>
          <w:p>
            <w:pPr>
              <w:ind w:left="40"/>
              <w:spacing w:after="0"/>
              <w:rPr>
                <w:sz w:val="20"/>
                <w:szCs w:val="20"/>
                <w:color w:val="auto"/>
              </w:rPr>
            </w:pPr>
            <w:r>
              <w:rPr>
                <w:rFonts w:ascii="Arial" w:cs="Arial" w:eastAsia="Arial" w:hAnsi="Arial"/>
                <w:sz w:val="18"/>
                <w:szCs w:val="18"/>
                <w:color w:val="auto"/>
              </w:rPr>
              <w:t>Vinnolit Ltd.</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Vinnolit Schkopau GmbH</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Ismaning, Germany</w:t>
            </w:r>
          </w:p>
        </w:tc>
        <w:tc>
          <w:tcPr>
            <w:tcW w:w="3880" w:type="dxa"/>
            <w:vAlign w:val="bottom"/>
          </w:tcPr>
          <w:p>
            <w:pPr>
              <w:ind w:left="40"/>
              <w:spacing w:after="0"/>
              <w:rPr>
                <w:sz w:val="20"/>
                <w:szCs w:val="20"/>
                <w:color w:val="auto"/>
              </w:rPr>
            </w:pPr>
            <w:r>
              <w:rPr>
                <w:rFonts w:ascii="Arial" w:cs="Arial" w:eastAsia="Arial" w:hAnsi="Arial"/>
                <w:sz w:val="18"/>
                <w:szCs w:val="18"/>
                <w:color w:val="auto"/>
              </w:rPr>
              <w:t>Vinnolit Schkopau GmbH</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Westech Building Products, Inc.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Westech Building Products, Inc.</w:t>
            </w:r>
          </w:p>
        </w:tc>
        <w:tc>
          <w:tcPr>
            <w:tcW w:w="0" w:type="dxa"/>
            <w:vAlign w:val="bottom"/>
          </w:tcPr>
          <w:p>
            <w:pPr>
              <w:spacing w:after="0"/>
              <w:rPr>
                <w:sz w:val="1"/>
                <w:szCs w:val="1"/>
                <w:color w:val="auto"/>
              </w:rPr>
            </w:pPr>
          </w:p>
        </w:tc>
      </w:tr>
      <w:tr>
        <w:trPr>
          <w:trHeight w:val="37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Westech Building Products ULC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Canada</w:t>
            </w:r>
          </w:p>
        </w:tc>
        <w:tc>
          <w:tcPr>
            <w:tcW w:w="3880" w:type="dxa"/>
            <w:vAlign w:val="bottom"/>
          </w:tcPr>
          <w:p>
            <w:pPr>
              <w:ind w:left="40"/>
              <w:spacing w:after="0"/>
              <w:rPr>
                <w:sz w:val="20"/>
                <w:szCs w:val="20"/>
                <w:color w:val="auto"/>
              </w:rPr>
            </w:pPr>
            <w:r>
              <w:rPr>
                <w:rFonts w:ascii="Arial" w:cs="Arial" w:eastAsia="Arial" w:hAnsi="Arial"/>
                <w:sz w:val="18"/>
                <w:szCs w:val="18"/>
                <w:color w:val="auto"/>
              </w:rPr>
              <w:t>Westech Building Products ULC and</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Westech Building Products Limited</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Westlake Chemical Finance Corporation</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Westlake Chemical Finance Corporation</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Westlake Chemical OpCo LP</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Westlake Chemical OpCo LP</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Westlake Chemical Partners LP</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Westlake Chemical Partners LP</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Westlake Germany GmbH &amp; Co. KG</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Ismaning, Germany</w:t>
            </w:r>
          </w:p>
        </w:tc>
        <w:tc>
          <w:tcPr>
            <w:tcW w:w="3880" w:type="dxa"/>
            <w:vAlign w:val="bottom"/>
          </w:tcPr>
          <w:p>
            <w:pPr>
              <w:ind w:left="40"/>
              <w:spacing w:after="0"/>
              <w:rPr>
                <w:sz w:val="20"/>
                <w:szCs w:val="20"/>
                <w:color w:val="auto"/>
              </w:rPr>
            </w:pPr>
            <w:r>
              <w:rPr>
                <w:rFonts w:ascii="Arial" w:cs="Arial" w:eastAsia="Arial" w:hAnsi="Arial"/>
                <w:sz w:val="18"/>
                <w:szCs w:val="18"/>
                <w:color w:val="auto"/>
              </w:rPr>
              <w:t>Westlake Germany GmbH &amp; Co. KG</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Westlake Longview Corporation</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Westlake Longview Corporation</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Westlake Management Services, Inc.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Westlake Management Services, Inc.</w:t>
            </w:r>
          </w:p>
        </w:tc>
        <w:tc>
          <w:tcPr>
            <w:tcW w:w="0" w:type="dxa"/>
            <w:vAlign w:val="bottom"/>
          </w:tcPr>
          <w:p>
            <w:pPr>
              <w:spacing w:after="0"/>
              <w:rPr>
                <w:sz w:val="1"/>
                <w:szCs w:val="1"/>
                <w:color w:val="auto"/>
              </w:rPr>
            </w:pPr>
          </w:p>
        </w:tc>
      </w:tr>
      <w:tr>
        <w:trPr>
          <w:trHeight w:val="37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Westlake Petrochemicals LLC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Westlake Petrochemicals LLC,</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Westlake Petrochemicals LP and WPE</w:t>
            </w:r>
          </w:p>
        </w:tc>
        <w:tc>
          <w:tcPr>
            <w:tcW w:w="0" w:type="dxa"/>
            <w:vAlign w:val="bottom"/>
          </w:tcPr>
          <w:p>
            <w:pPr>
              <w:spacing w:after="0"/>
              <w:rPr>
                <w:sz w:val="1"/>
                <w:szCs w:val="1"/>
                <w:color w:val="auto"/>
              </w:rPr>
            </w:pPr>
          </w:p>
        </w:tc>
      </w:tr>
      <w:tr>
        <w:trPr>
          <w:trHeight w:val="37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Westlake Polymers LLC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Westlake Polymers LLC,</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Westlake Polymers LP and WPE</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Westlake PVC Corporation</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Westlake PVC Corporation</w:t>
            </w:r>
          </w:p>
        </w:tc>
        <w:tc>
          <w:tcPr>
            <w:tcW w:w="0" w:type="dxa"/>
            <w:vAlign w:val="bottom"/>
          </w:tcPr>
          <w:p>
            <w:pPr>
              <w:spacing w:after="0"/>
              <w:rPr>
                <w:sz w:val="1"/>
                <w:szCs w:val="1"/>
                <w:color w:val="auto"/>
              </w:rPr>
            </w:pPr>
          </w:p>
        </w:tc>
      </w:tr>
      <w:tr>
        <w:trPr>
          <w:trHeight w:val="37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Westlake Styrene LLC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Westlake Styrene LLC and</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Westlake Styrene LP</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Westlake Supply and Trading Company</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Westlake Supply and Trading Company</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Westlake Vinyls Company LP</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Westlake Vinyls Company LP</w:t>
            </w:r>
          </w:p>
        </w:tc>
        <w:tc>
          <w:tcPr>
            <w:tcW w:w="0" w:type="dxa"/>
            <w:vAlign w:val="bottom"/>
          </w:tcPr>
          <w:p>
            <w:pPr>
              <w:spacing w:after="0"/>
              <w:rPr>
                <w:sz w:val="1"/>
                <w:szCs w:val="1"/>
                <w:color w:val="auto"/>
              </w:rPr>
            </w:pPr>
          </w:p>
        </w:tc>
      </w:tr>
      <w:tr>
        <w:trPr>
          <w:trHeight w:val="37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Westlake Vinyls, Inc.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Westlake Vinyls, Inc.,</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Westlake Monomers and WCAO</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WPT LLC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WPT LLC and WPT LP</w:t>
            </w:r>
          </w:p>
        </w:tc>
        <w:tc>
          <w:tcPr>
            <w:tcW w:w="0" w:type="dxa"/>
            <w:vAlign w:val="bottom"/>
          </w:tcPr>
          <w:p>
            <w:pPr>
              <w:spacing w:after="0"/>
              <w:rPr>
                <w:sz w:val="1"/>
                <w:szCs w:val="1"/>
                <w:color w:val="auto"/>
              </w:rPr>
            </w:pPr>
          </w:p>
        </w:tc>
      </w:tr>
      <w:tr>
        <w:trPr>
          <w:trHeight w:val="37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Suzhou Huasu Plastics Co., Ltd.</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People’s Republic of China</w:t>
            </w:r>
          </w:p>
        </w:tc>
        <w:tc>
          <w:tcPr>
            <w:tcW w:w="3880" w:type="dxa"/>
            <w:vAlign w:val="bottom"/>
          </w:tcPr>
          <w:p>
            <w:pPr>
              <w:ind w:left="40"/>
              <w:spacing w:after="0"/>
              <w:rPr>
                <w:sz w:val="20"/>
                <w:szCs w:val="20"/>
                <w:color w:val="auto"/>
              </w:rPr>
            </w:pPr>
            <w:r>
              <w:rPr>
                <w:rFonts w:ascii="Arial" w:cs="Arial" w:eastAsia="Arial" w:hAnsi="Arial"/>
                <w:sz w:val="18"/>
                <w:szCs w:val="18"/>
                <w:color w:val="auto"/>
              </w:rPr>
              <w:t>Suzhou Huasu Plastics Co., Ltd.</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and Huasu</w:t>
            </w:r>
          </w:p>
        </w:tc>
        <w:tc>
          <w:tcPr>
            <w:tcW w:w="0" w:type="dxa"/>
            <w:vAlign w:val="bottom"/>
          </w:tcPr>
          <w:p>
            <w:pPr>
              <w:spacing w:after="0"/>
              <w:rPr>
                <w:sz w:val="1"/>
                <w:szCs w:val="1"/>
                <w:color w:val="auto"/>
              </w:rPr>
            </w:pPr>
          </w:p>
        </w:tc>
      </w:tr>
      <w:tr>
        <w:trPr>
          <w:trHeight w:val="275"/>
        </w:trPr>
        <w:tc>
          <w:tcPr>
            <w:tcW w:w="378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12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420"/>
          </w:cols>
          <w:pgMar w:left="240" w:top="580" w:right="239" w:bottom="1440" w:gutter="0" w:footer="0" w:header="0"/>
        </w:sectPr>
      </w:pPr>
    </w:p>
    <w:p>
      <w:pPr>
        <w:ind w:left="420" w:right="500" w:hanging="412"/>
        <w:spacing w:after="0" w:line="342" w:lineRule="auto"/>
        <w:tabs>
          <w:tab w:leader="none" w:pos="4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Westlake has elected to omit the names of certain subsidiaries. None of the omitted subsidiaries, considered either alone or together with the other omitted subsidiaries of its immediate parent, constitutes a “Significant Subsidiary” as set forth in Section 601(b)(21) of Regulation S-K.</w:t>
      </w:r>
    </w:p>
    <w:p>
      <w:pPr>
        <w:sectPr>
          <w:pgSz w:w="11900" w:h="16838" w:orient="portrait"/>
          <w:cols w:equalWidth="0" w:num="1">
            <w:col w:w="11420"/>
          </w:cols>
          <w:pgMar w:left="240" w:top="580" w:right="239" w:bottom="1440" w:gutter="0" w:footer="0" w:header="0"/>
          <w:type w:val="continuous"/>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333-118205) and Forms S-3 (No. 333-177119 and No. 333-191064) of Westlake Chemical Corporation of our reports dated February 24, 2016 relating to Westlake Chemical Corporation consolidated financial statements, financial statement schedule, and the effectiveness of internal control over financial reporting, and Westlake Chemical OpCo LP combined financial statements, which appear in this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2016</w:t>
      </w:r>
    </w:p>
    <w:p>
      <w:pPr>
        <w:sectPr>
          <w:pgSz w:w="11900" w:h="16838" w:orient="portrait"/>
          <w:cols w:equalWidth="0" w:num="1">
            <w:col w:w="11420"/>
          </w:cols>
          <w:pgMar w:left="240" w:top="58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171"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Westlake Chemical Corporation;</w:t>
      </w:r>
    </w:p>
    <w:p>
      <w:pPr>
        <w:spacing w:after="0" w:line="90"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980" w:right="260" w:hanging="486"/>
        <w:spacing w:after="0" w:line="264"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980" w:right="540" w:hanging="486"/>
        <w:spacing w:after="0" w:line="264"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980" w:right="720" w:hanging="486"/>
        <w:spacing w:after="0" w:line="334" w:lineRule="auto"/>
        <w:tabs>
          <w:tab w:leader="none" w:pos="9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300" w:hanging="486"/>
        <w:spacing w:after="0" w:line="264"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980" w:right="180" w:hanging="486"/>
        <w:spacing w:after="0" w:line="308" w:lineRule="auto"/>
        <w:tabs>
          <w:tab w:leader="none" w:pos="9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980" w:right="160" w:hanging="486"/>
        <w:spacing w:after="0" w:line="277"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70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24, 2016</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Albert Chao</w:t>
      </w:r>
    </w:p>
    <w:p>
      <w:pPr>
        <w:jc w:val="center"/>
        <w:ind w:left="6520"/>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171"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Westlake Chemical Corporation;</w:t>
      </w:r>
    </w:p>
    <w:p>
      <w:pPr>
        <w:spacing w:after="0" w:line="90"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980" w:right="260" w:hanging="486"/>
        <w:spacing w:after="0" w:line="264" w:lineRule="auto"/>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980" w:right="540" w:hanging="486"/>
        <w:spacing w:after="0" w:line="264" w:lineRule="auto"/>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980" w:right="720" w:hanging="486"/>
        <w:spacing w:after="0" w:line="334" w:lineRule="auto"/>
        <w:tabs>
          <w:tab w:leader="none" w:pos="9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300" w:hanging="486"/>
        <w:spacing w:after="0" w:line="264" w:lineRule="auto"/>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980" w:right="180" w:hanging="486"/>
        <w:spacing w:after="0" w:line="308" w:lineRule="auto"/>
        <w:tabs>
          <w:tab w:leader="none" w:pos="98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980" w:right="160" w:hanging="486"/>
        <w:spacing w:after="0" w:line="277" w:lineRule="auto"/>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00" w:val="left"/>
          <w:tab w:leader="none" w:pos="8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24, 2016</w:t>
      </w:r>
      <w:r>
        <w:rPr>
          <w:sz w:val="20"/>
          <w:szCs w:val="20"/>
          <w:color w:val="auto"/>
        </w:rPr>
        <w:tab/>
      </w:r>
      <w:r>
        <w:rPr>
          <w:rFonts w:ascii="Arial" w:cs="Arial" w:eastAsia="Arial" w:hAnsi="Arial"/>
          <w:sz w:val="17"/>
          <w:szCs w:val="17"/>
          <w:color w:val="auto"/>
        </w:rPr>
        <w:t>/s/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M. Steven Bender</w:t>
      </w:r>
    </w:p>
    <w:p>
      <w:pPr>
        <w:jc w:val="center"/>
        <w:ind w:left="6520"/>
        <w:spacing w:after="0" w:line="226" w:lineRule="auto"/>
        <w:rPr>
          <w:sz w:val="20"/>
          <w:szCs w:val="20"/>
          <w:color w:val="auto"/>
        </w:rPr>
      </w:pPr>
      <w:r>
        <w:rPr>
          <w:rFonts w:ascii="Arial" w:cs="Arial" w:eastAsia="Arial" w:hAnsi="Arial"/>
          <w:sz w:val="14"/>
          <w:szCs w:val="14"/>
          <w:b w:val="1"/>
          <w:bCs w:val="1"/>
          <w:color w:val="auto"/>
        </w:rPr>
        <w:t>Senior Vice President, Chief Financial Officer and Treasurer</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In connection with the Annual Report of Westlake Chemical Corporation (the "Company") on Form 10-K for the fiscal year ended December 31, 2015 as filed with the Securities and Exchange Commission on the date hereof (the "Report"), I, Albert Chao, President and Chief Executive Officer of the Company, and I, M. Steven Bender, Senior Vice President, Chief Financial Officer and Treasurer of the Company, certify, to the best of our knowledge, pursuant to 18 U.S.C. §1350, as adopted pursuant to §906 of the Sarbanes-Oxley Act of 2002, that:</w:t>
      </w:r>
    </w:p>
    <w:p>
      <w:pPr>
        <w:spacing w:after="0" w:line="36" w:lineRule="exact"/>
        <w:rPr>
          <w:sz w:val="20"/>
          <w:szCs w:val="20"/>
          <w:color w:val="auto"/>
        </w:rPr>
      </w:pPr>
    </w:p>
    <w:p>
      <w:pPr>
        <w:ind w:left="420" w:hanging="412"/>
        <w:spacing w:after="0"/>
        <w:tabs>
          <w:tab w:leader="none" w:pos="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tabs>
          <w:tab w:leader="none" w:pos="70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24, 2016</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Albert Chao</w:t>
      </w:r>
    </w:p>
    <w:p>
      <w:pPr>
        <w:jc w:val="center"/>
        <w:ind w:left="6520"/>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pacing w:after="0" w:line="358" w:lineRule="exact"/>
        <w:rPr>
          <w:sz w:val="20"/>
          <w:szCs w:val="20"/>
          <w:color w:val="auto"/>
        </w:rPr>
      </w:pPr>
    </w:p>
    <w:p>
      <w:pPr>
        <w:ind w:left="40"/>
        <w:spacing w:after="0"/>
        <w:tabs>
          <w:tab w:leader="none" w:pos="700" w:val="left"/>
          <w:tab w:leader="none" w:pos="8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24, 2016</w:t>
      </w:r>
      <w:r>
        <w:rPr>
          <w:sz w:val="20"/>
          <w:szCs w:val="20"/>
          <w:color w:val="auto"/>
        </w:rPr>
        <w:tab/>
      </w:r>
      <w:r>
        <w:rPr>
          <w:rFonts w:ascii="Arial" w:cs="Arial" w:eastAsia="Arial" w:hAnsi="Arial"/>
          <w:sz w:val="17"/>
          <w:szCs w:val="17"/>
          <w:color w:val="auto"/>
        </w:rPr>
        <w:t>/s/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M. Steven Bender</w:t>
      </w:r>
    </w:p>
    <w:p>
      <w:pPr>
        <w:jc w:val="center"/>
        <w:ind w:left="6520"/>
        <w:spacing w:after="0" w:line="226" w:lineRule="auto"/>
        <w:rPr>
          <w:sz w:val="20"/>
          <w:szCs w:val="20"/>
          <w:color w:val="auto"/>
        </w:rPr>
      </w:pPr>
      <w:r>
        <w:rPr>
          <w:rFonts w:ascii="Arial" w:cs="Arial" w:eastAsia="Arial" w:hAnsi="Arial"/>
          <w:sz w:val="14"/>
          <w:szCs w:val="14"/>
          <w:b w:val="1"/>
          <w:bCs w:val="1"/>
          <w:color w:val="auto"/>
        </w:rPr>
        <w:t>Senior Vice President, Chief Financial Officer and Treasurer</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Westlake Chemical OpCo LP</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Combined Financial Statements for the year ended December 31, 2015</w:t>
      </w:r>
    </w:p>
    <w:p>
      <w:pPr>
        <w:sectPr>
          <w:pgSz w:w="11900" w:h="16838" w:orient="portrait"/>
          <w:cols w:equalWidth="0" w:num="1">
            <w:col w:w="11420"/>
          </w:cols>
          <w:pgMar w:left="240" w:top="364" w:right="23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AUDITOR'S REPORT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General Partner of Westlake Chemical OpCo LP:</w:t>
      </w:r>
    </w:p>
    <w:p>
      <w:pPr>
        <w:spacing w:after="0" w:line="225"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In our opinion, the accompanying balance sheets and the related combined statements of operations, of changes in equity and of cash flows present fairly, in all material respects, the financial position of Westlake Chemical OpCo LP at December 31, 2015 and 2014, and the results of its operations and its cash flows for each of the three years in the period ended December 31, 2015 in conformity with accounting principles generally accepted in the United States of America. These financial statements are the responsibility of the Partnership's management. Our responsibility is to express an opinion on these financial statements based on our audits. We conducted our audits of these statements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2016</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OPCO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385"/>
        </w:trPr>
        <w:tc>
          <w:tcPr>
            <w:tcW w:w="8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(in thousands of dollars)</w:t>
            </w:r>
          </w:p>
        </w:tc>
      </w:tr>
      <w:tr>
        <w:trPr>
          <w:trHeight w:val="256"/>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163,430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131,545</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 net—Westlake Chemical Corporation ("Westlake")</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39,655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18,529</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net—third parties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37,520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6,634</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219,158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194,440</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1,020,469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842,057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5,814</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Deferred charges and other assets, net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38,343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51,919</w:t>
            </w: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assets, net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57,733</w:t>
            </w:r>
          </w:p>
        </w:tc>
      </w:tr>
      <w:tr>
        <w:trPr>
          <w:trHeight w:val="297"/>
        </w:trPr>
        <w:tc>
          <w:tcPr>
            <w:tcW w:w="8360" w:type="dxa"/>
            <w:vAlign w:val="bottom"/>
            <w:tcBorders>
              <w:bottom w:val="single" w:sz="8" w:color="CCEEFF"/>
            </w:tcBorders>
          </w:tcPr>
          <w:p>
            <w:pPr>
              <w:ind w:left="7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1,283,784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1,094,230</w:t>
            </w:r>
          </w:p>
        </w:tc>
      </w:tr>
      <w:tr>
        <w:trPr>
          <w:trHeight w:val="237"/>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payable—Westlake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5,332</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payable—third parties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18,737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12,348</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11,225</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55,774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28,905</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248,665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227,638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1,848</w:t>
            </w: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305,831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258,391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Commitments and contingencies (Notes 9 and 14)</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Limited partners interest—Westlake</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508,038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504,854</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Limited partners interest—Westlake Chemical Partners LP</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469,915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330,985</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977,953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835,839</w:t>
            </w: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1,283,784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1,094,230</w:t>
            </w: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combined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OPCO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17"/>
        </w:trPr>
        <w:tc>
          <w:tcPr>
            <w:tcW w:w="6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293"/>
              <w:spacing w:after="0"/>
              <w:rPr>
                <w:sz w:val="20"/>
                <w:szCs w:val="20"/>
                <w:color w:val="auto"/>
              </w:rPr>
            </w:pPr>
            <w:r>
              <w:rPr>
                <w:rFonts w:ascii="Arial" w:cs="Arial" w:eastAsia="Arial" w:hAnsi="Arial"/>
                <w:sz w:val="14"/>
                <w:szCs w:val="14"/>
                <w:b w:val="1"/>
                <w:bCs w:val="1"/>
                <w:i w:val="1"/>
                <w:iCs w:val="1"/>
                <w:color w:val="auto"/>
                <w:w w:val="97"/>
              </w:rPr>
              <w:t>Predecessor</w:t>
            </w:r>
          </w:p>
        </w:tc>
      </w:tr>
      <w:tr>
        <w:trPr>
          <w:trHeight w:val="438"/>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(in thousands of dollars)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834,918</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1,292,089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1,603,043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co-products, ethylene and feedstock sales—third parties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172,303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457,611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524,704</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1,007,221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1,749,700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2,127,747</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624,339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1,003,888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1,255,140</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382,882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745,812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872,607</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25,451</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362,744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718,942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847,156</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(8,032)</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7,701</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359,990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711,594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846,825</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199,388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300,279</w:t>
            </w:r>
          </w:p>
        </w:tc>
      </w:tr>
      <w:tr>
        <w:trPr>
          <w:trHeight w:val="297"/>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CCEEFF"/>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359,318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CCEEFF"/>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512,206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546,546</w:t>
            </w:r>
          </w:p>
        </w:tc>
      </w:tr>
      <w:tr>
        <w:trPr>
          <w:trHeight w:val="189"/>
        </w:trPr>
        <w:tc>
          <w:tcPr>
            <w:tcW w:w="676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Less: Predecessor net income prior to initial public offering on</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57"/>
        </w:trPr>
        <w:tc>
          <w:tcPr>
            <w:tcW w:w="6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August 4, 2014</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361,334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Net income subsequent to initial public offering</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359,318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150,872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combined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OPCO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CHANGES IN EQUITY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i w:val="1"/>
                <w:iCs w:val="1"/>
                <w:color w:val="auto"/>
                <w:w w:val="83"/>
              </w:rPr>
              <w:t>Predecessor</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4"/>
                <w:szCs w:val="14"/>
                <w:b w:val="1"/>
                <w:bCs w:val="1"/>
                <w:i w:val="1"/>
                <w:iCs w:val="1"/>
                <w:color w:val="auto"/>
                <w:w w:val="90"/>
              </w:rPr>
              <w:t>Westlake Chemical OpCo LP</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3"/>
                <w:szCs w:val="13"/>
                <w:color w:val="auto"/>
              </w:rPr>
            </w:pPr>
          </w:p>
        </w:tc>
        <w:tc>
          <w:tcPr>
            <w:tcW w:w="13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Limited Partners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Limited Partners</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Interest - Westlake</w:t>
            </w:r>
          </w:p>
        </w:tc>
        <w:tc>
          <w:tcPr>
            <w:tcW w:w="36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3"/>
              </w:rPr>
              <w:t>Interest - Westlake</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Chemical Partners LP</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6"/>
          </w:tcPr>
          <w:p>
            <w:pPr>
              <w:ind w:left="640"/>
              <w:spacing w:after="0"/>
              <w:rPr>
                <w:sz w:val="20"/>
                <w:szCs w:val="20"/>
                <w:color w:val="auto"/>
              </w:rPr>
            </w:pPr>
            <w:r>
              <w:rPr>
                <w:rFonts w:ascii="Arial" w:cs="Arial" w:eastAsia="Arial" w:hAnsi="Arial"/>
                <w:sz w:val="14"/>
                <w:szCs w:val="14"/>
                <w:b w:val="1"/>
                <w:bCs w:val="1"/>
                <w:color w:val="auto"/>
              </w:rPr>
              <w:t>(in thousands of dollars)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273,812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273,812</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Contribution of debt payable to Westlake into net</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investment</w:t>
            </w:r>
          </w:p>
        </w:tc>
        <w:tc>
          <w:tcPr>
            <w:tcW w:w="26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238,600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238,600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546,546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546,546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distributions to Westlake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(603,526)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(603,526)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2013</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455,432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455,432</w:t>
            </w:r>
          </w:p>
        </w:tc>
        <w:tc>
          <w:tcPr>
            <w:tcW w:w="0" w:type="dxa"/>
            <w:vAlign w:val="bottom"/>
          </w:tcPr>
          <w:p>
            <w:pPr>
              <w:spacing w:after="0"/>
              <w:rPr>
                <w:sz w:val="1"/>
                <w:szCs w:val="1"/>
                <w:color w:val="auto"/>
              </w:rPr>
            </w:pPr>
          </w:p>
        </w:tc>
      </w:tr>
      <w:tr>
        <w:trPr>
          <w:trHeight w:val="209"/>
        </w:trPr>
        <w:tc>
          <w:tcPr>
            <w:tcW w:w="5160" w:type="dxa"/>
            <w:vAlign w:val="bottom"/>
          </w:tcPr>
          <w:p>
            <w:pPr>
              <w:ind w:left="40"/>
              <w:spacing w:after="0"/>
              <w:rPr>
                <w:sz w:val="20"/>
                <w:szCs w:val="20"/>
                <w:color w:val="auto"/>
              </w:rPr>
            </w:pPr>
            <w:r>
              <w:rPr>
                <w:rFonts w:ascii="Arial" w:cs="Arial" w:eastAsia="Arial" w:hAnsi="Arial"/>
                <w:sz w:val="18"/>
                <w:szCs w:val="18"/>
                <w:color w:val="auto"/>
              </w:rPr>
              <w:t>Net income from January 1, 2014 through August 3,</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361,334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361,334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distributions to Westlake prior to initial public offering</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(448,101)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(448,101)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Predecessor net liabilities not assumed by OpCo</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239,706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239,706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August 4, 2014 (prior to initial public</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offering)</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608,371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608,371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Allocation of net investment to partners' capital</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(608,371)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573,329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35,042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contribution from Westlake Chemical</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Partners LP</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286,088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286,088</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Proceeds from capital contribution from Westlake</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Chemical Partners LP distributed to Westlake</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(151,729)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(151,729)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from August 4, 2014 through December 31,</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2014</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134,909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150,872</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Quarterly distribution for the period from August 4, 2014</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to September 30, 2014</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(51,655)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(6,108)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(57,763)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2014</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504,854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330,985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835,839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314,026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45,292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359,318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contribution from Westlake Chemical Partners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LP for additional interest</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135,341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135,341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Quarterly distributions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(310,842)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(41,703)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(352,545)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2015</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508,038</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469,915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977,953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combined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OPCO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17"/>
        </w:trPr>
        <w:tc>
          <w:tcPr>
            <w:tcW w:w="6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291"/>
              <w:spacing w:after="0"/>
              <w:rPr>
                <w:sz w:val="20"/>
                <w:szCs w:val="20"/>
                <w:color w:val="auto"/>
              </w:rPr>
            </w:pPr>
            <w:r>
              <w:rPr>
                <w:rFonts w:ascii="Arial" w:cs="Arial" w:eastAsia="Arial" w:hAnsi="Arial"/>
                <w:sz w:val="14"/>
                <w:szCs w:val="14"/>
                <w:b w:val="1"/>
                <w:bCs w:val="1"/>
                <w:i w:val="1"/>
                <w:iCs w:val="1"/>
                <w:color w:val="auto"/>
                <w:w w:val="97"/>
              </w:rPr>
              <w:t>Predecessor</w:t>
            </w:r>
          </w:p>
        </w:tc>
      </w:tr>
      <w:tr>
        <w:trPr>
          <w:trHeight w:val="438"/>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(in thousands of dollars)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359,318</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512,206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546,546</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81,210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77,611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73,463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Loss from disposition of property, plant and equipment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1,905</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37,054</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Income from equity method investment, net of dividends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402</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Accounts receivable—third parties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25,424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14,352</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accounts receivable—Westlake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24,686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(6,057)</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7,362</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and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(20,852)</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8,588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(51,556)</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459,247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603,304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602,509</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(223,130)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Settlements of derivative instruments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(6,920)</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(231,185)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(230,050)</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debt payable to Westlake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181,642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231,067</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Repayment of debt payable to Westlake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(135,341)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contribution from Westlake Chemical Partners LP for additional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135,341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Quarterly distributions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(352,545)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(57,763)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Repayment of debt payable to Westlake with proceeds from the capital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contribution from Westlake Chemical Partners LP</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Capital contribution from Westlake Chemical Partners LP</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286,088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capital contribution from Westlake Chemical Partners LP</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distributed to Westlake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Net distributions to Westlake prior to initial public offering</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(448,101)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(603,526)</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(196,177)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(268,803)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(372,459)</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31,885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131,545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the year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Cash and cash equivalents at end of the year</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163,430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131,545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combined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4"/>
          <w:szCs w:val="14"/>
          <w:u w:val="single" w:color="auto"/>
          <w:color w:val="0000EE"/>
        </w:rPr>
        <w:t>Table of Contents</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WESTLAKE CHEMICAL OPCO LP</w:t>
      </w:r>
    </w:p>
    <w:p>
      <w:pPr>
        <w:spacing w:after="0" w:line="70"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660" w:firstLine="8"/>
        <w:spacing w:after="0" w:line="346" w:lineRule="auto"/>
        <w:tabs>
          <w:tab w:leader="none" w:pos="1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Significant Accounting Policies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Westlake Chemical OpCo LP ("OpCo") was formed on May 6, 2014 by Westlake. On August 4, 2014, Westlake Chemical Partners LP , a Delaware limited partnership formed in March 2014 (the "Partnership"), completed its initial public offering (the "IPO") of 12,937,500 common units representing limited partner interests in OpCo. In connection with the IPO, the Partnership acquired a 10.6% interest in OpCo and a 100% interest in Westlake Chemical OpCo GP LLC ("OpCo GP"), the general partner of OpCo. On April 29, 2015, the Partnership purchased an additional 2.7% newly-issued limited partner interest in OpCo for approximately $135,341, resulting in an aggregate 13.3% limited partner interest in OpCo effective April 1, 2015. As of April 1, 2015, Westlake retained an 86.7% noncontrolling interest in OpCo. OpCo owns three natural gas liquids processing facilities and a common carrier ethylene pipeline (collectively, the "Contributed Assets").</w:t>
      </w:r>
    </w:p>
    <w:p>
      <w:pPr>
        <w:spacing w:after="0" w:line="13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References in these financial statements to the Partnership, OpCo and OpCo GP used in the present tense or prospectively refer to the period subsequent to the IPO. References in these financial statements to the "Predecessor" refer to Westlake Chemical Partners LP Predecessor, the Partnership's and OpCo's predecessor for accounting purposes and refer to the time periods prior to the IPO. References to "Westlake" refer collectively to Westlake Chemical Corporation and its subsidiaries, other than the Partnership, OpCo and OpCo GP. In connection with the IPO, OpCo and Westlake entered into an ethylene sales agreement (the "Ethylene Sales Agreement") pursuant to which OpCo generates a substantial majority of its revenue. For more information, see Note 2 to the combined financial statements.</w:t>
      </w:r>
    </w:p>
    <w:p>
      <w:pPr>
        <w:spacing w:after="0" w:line="139" w:lineRule="exact"/>
        <w:rPr>
          <w:sz w:val="20"/>
          <w:szCs w:val="20"/>
          <w:color w:val="auto"/>
        </w:rPr>
      </w:pPr>
    </w:p>
    <w:p>
      <w:pPr>
        <w:ind w:right="220" w:firstLine="405"/>
        <w:spacing w:after="0" w:line="276" w:lineRule="auto"/>
        <w:rPr>
          <w:sz w:val="20"/>
          <w:szCs w:val="20"/>
          <w:color w:val="auto"/>
        </w:rPr>
      </w:pPr>
      <w:r>
        <w:rPr>
          <w:rFonts w:ascii="Arial" w:cs="Arial" w:eastAsia="Arial" w:hAnsi="Arial"/>
          <w:sz w:val="17"/>
          <w:szCs w:val="17"/>
          <w:color w:val="auto"/>
        </w:rPr>
        <w:t>OpCo sells ethylene production in excess of volumes sold to Westlake, as well as all of the co-products resulting from the ethylene production, including propylene, crude butadiene, pyrolysis gasoline and hydrogen, directly to third parties on either a spot or contract basis. Co-products sold to third parties continue to be transported by rail or truck. Net proceeds (after transportation and other costs) from the sales of ethylene co-products that result from the production of ethylene purchased by Westlake are netted against the ethylene price charged to Westlake under the Ethylene Sales Agreement, thereby reducing OpCo's exposure to fluctuations in the market prices of these co-products.</w:t>
      </w:r>
    </w:p>
    <w:p>
      <w:pPr>
        <w:spacing w:after="0" w:line="11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OpCo's operations consist of activities relating solely to the Contributed Assets. The Predecessor's operations consisted of the entire ethylene business of Westlake, including the activities of the Contributed Assets, as well as activities which were retained by Westlake. Ethylene business activities retained by Westlake include, but are not limited to, procuring feedstock, managing inventory and commodity risk and transporting ethylene from manufacturing facilities.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accompanying combined financial statements have been prepared in conformity with accounting principles generally accepted in the United States.</w:t>
      </w:r>
    </w:p>
    <w:p>
      <w:pPr>
        <w:spacing w:after="0" w:line="19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All financial information presented for the periods after the IPO represents the results of operations, financial position and cash flows of OpCo. Financial information for the periods prior to the IPO represents the combined results of operations, financial position and cash flows of the Predecessor. The combined financial statements for the years ended December 31, 2014 and 2013 were prepared as follows:</w:t>
      </w:r>
    </w:p>
    <w:p>
      <w:pPr>
        <w:spacing w:after="0" w:line="46" w:lineRule="exact"/>
        <w:rPr>
          <w:sz w:val="20"/>
          <w:szCs w:val="20"/>
          <w:color w:val="auto"/>
        </w:rPr>
      </w:pPr>
    </w:p>
    <w:p>
      <w:pPr>
        <w:jc w:val="both"/>
        <w:ind w:left="660" w:right="340" w:hanging="328"/>
        <w:spacing w:after="0" w:line="26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combined statement of operations for the year ended December 31, 2014 consists of the results of OpCo for the period from August 4, 2014 through December 31, 2014 and the combined results of the Predecessor for the period from January 1, 2014 through August 3, 2014 and for the year ended December 31, 2013.</w:t>
      </w:r>
    </w:p>
    <w:p>
      <w:pPr>
        <w:spacing w:after="0" w:line="127" w:lineRule="exact"/>
        <w:rPr>
          <w:rFonts w:ascii="Arial" w:cs="Arial" w:eastAsia="Arial" w:hAnsi="Arial"/>
          <w:sz w:val="18"/>
          <w:szCs w:val="18"/>
          <w:color w:val="auto"/>
        </w:rPr>
      </w:pPr>
    </w:p>
    <w:p>
      <w:pPr>
        <w:jc w:val="both"/>
        <w:ind w:left="660" w:right="340" w:hanging="328"/>
        <w:spacing w:after="0" w:line="26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combined statement of cash flows for the year ended December 31, 2014 consists of the results of OpCo for the period from August 4, 2014 through December 31, 2014 and the combined results of the Predecessor for the period from January 1, 2014 through August 3, 2014 and for the year ended December 31, 2013.</w:t>
      </w:r>
    </w:p>
    <w:p>
      <w:pPr>
        <w:spacing w:after="0" w:line="127" w:lineRule="exact"/>
        <w:rPr>
          <w:rFonts w:ascii="Arial" w:cs="Arial" w:eastAsia="Arial" w:hAnsi="Arial"/>
          <w:sz w:val="18"/>
          <w:szCs w:val="18"/>
          <w:color w:val="auto"/>
        </w:rPr>
      </w:pPr>
    </w:p>
    <w:p>
      <w:pPr>
        <w:ind w:left="660" w:right="100" w:hanging="328"/>
        <w:spacing w:after="0" w:line="312"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combined statement of changes in equity for the year ended December 31, 2014 consists of the combined activity for the Predecessor prior to August 4, 2014, and the activity for OpCo at and subsequent to the IPO on August 4, 2014 through December 31, 2014. The combined statement of changes in equity for the year ended December 31, 2013 consists entirely of the combined activity of the Predecessor.</w:t>
      </w:r>
    </w:p>
    <w:p>
      <w:pPr>
        <w:spacing w:after="0" w:line="17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combined statements of operations for the periods before August 4, 2014 include expense allocations for certain functions historically performed by Westlake and allocated to the ethylene business, including allocations of general corporate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WESTLAKE CHEMICAL OPCO LP</w:t>
      </w:r>
    </w:p>
    <w:p>
      <w:pPr>
        <w:spacing w:after="0" w:line="7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3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expenses related to finance, legal, information technology, human resources, communications, ethics and compliance, shared services, employee benefits and incentives and stock-based compensation. These allocations were based primarily on direct usage, when identifiable, with the remainder allocated on the basis of fixed assets, headcount or other measures. Management believes the assumptions underlying the combined financial statements, including the assumptions regarding the allocation of expenses from Westlake, are reasonable and reflect all costs related to the operations of the Predecessor, including those incurred by Westlake on behalf of the Predecessor. Nevertheless, the combined financial statements may not include all of the expenses that would have been incurred had the Predecessor been a stand-alone company during the periods presented and may not reflect its results of operations, financial position and cash flows had the Predecessor been a stand-alone company during the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Cash equivalents consist of highly liquid investments that are readily convertible into cash and have a maturity of three months or less at the date of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The determination of the allowance for doubtful accounts is based on estimation of the amount of accounts receivable that OpCo believes are unlikely to be collected. Estimating this amount requires analysis of the financial strength of OpCo's customers, the use of historical experience, OpCo's accounts receivable aged trial balance and specific collectibility analysis. The allowance for doubtful accounts is reviewed quarterly. Past due balances over 90 days and high risk accounts, as determined by the analysis of financial strength of customers, are reviewed individually for collectibility.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Inventories primarily include product, material and supplies. Inventories are stated at the lower of cost or market. Cost is determined using the first-in, first-out ("FIFO") or average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Property, plant and equipment are carried at cost, net of accumulated depreciation. Cost includes expenditures for improvements and betterments that extend the useful lives of the assets and interest capitalized on significant capital projects.</w:t>
      </w:r>
    </w:p>
    <w:p>
      <w:pPr>
        <w:spacing w:after="0" w:line="116"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Interest expense is capitalized for qualifying assets under construction. Capitalized interest costs are included in property, plant and equipment and are depreciated over the useful life of the related asset. Capitalized interest was $5,116 for the year ended December 31, 2015 and $2,638 for the period from August 4, 2014 to December 31, 2014. Repair and maintenance costs are charged to operations as incurred. Gains and losses on the disposal or retirement of property, plant and equipment are reflected in the statement of operations when the assets are sold or retired.</w:t>
      </w:r>
    </w:p>
    <w:p>
      <w:pPr>
        <w:spacing w:after="0" w:line="117"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The accounting guidance for asset retirement obligations requires the recording of liabilities equal to the fair value of asset retirement obligations and corresponding additional asset costs, when there is a legal asset retirement obligation as a result of existing or enacted law, statute or contract. OpCo has conditional asset retirement obligations for the removal and disposal of hazardous materials from certain of OpCo's manufacturing facilities. However, no asset retirement obligations have been recognized because the fair value of the conditional legal obligation cannot be measured due to the indeterminate settlement date of the obligation. Settlement of these conditional asset retirement obligations is not expected to have a material adverse effect on OpCo's financial condition, results of operations or cash flows in any individual reporting period.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Depreciation is provided by utilizing the straight-line method over the estimated useful lives of the assets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Classification</w:t>
            </w:r>
          </w:p>
        </w:tc>
        <w:tc>
          <w:tcPr>
            <w:tcW w:w="2520" w:type="dxa"/>
            <w:vAlign w:val="bottom"/>
            <w:tcBorders>
              <w:bottom w:val="single" w:sz="8" w:color="CCEEFF"/>
            </w:tcBorders>
          </w:tcPr>
          <w:p>
            <w:pPr>
              <w:spacing w:after="0"/>
              <w:rPr>
                <w:sz w:val="16"/>
                <w:szCs w:val="16"/>
                <w:color w:val="auto"/>
              </w:rPr>
            </w:pPr>
          </w:p>
        </w:tc>
        <w:tc>
          <w:tcPr>
            <w:tcW w:w="64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Years</w:t>
            </w:r>
          </w:p>
        </w:tc>
      </w:tr>
      <w:tr>
        <w:trPr>
          <w:trHeight w:val="371"/>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64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Plant and equipment</w:t>
            </w:r>
          </w:p>
        </w:tc>
        <w:tc>
          <w:tcPr>
            <w:tcW w:w="750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13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500" w:type="dxa"/>
            <w:vAlign w:val="bottom"/>
            <w:gridSpan w:val="2"/>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Ethylene pipeline</w:t>
            </w:r>
          </w:p>
        </w:tc>
        <w:tc>
          <w:tcPr>
            <w:tcW w:w="7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7500" w:type="dxa"/>
            <w:vAlign w:val="bottom"/>
            <w:gridSpan w:val="2"/>
          </w:tcPr>
          <w:p>
            <w:pPr>
              <w:jc w:val="right"/>
              <w:spacing w:after="0"/>
              <w:rPr>
                <w:sz w:val="20"/>
                <w:szCs w:val="20"/>
                <w:color w:val="auto"/>
              </w:rPr>
            </w:pPr>
            <w:r>
              <w:rPr>
                <w:rFonts w:ascii="Arial" w:cs="Arial" w:eastAsia="Arial" w:hAnsi="Arial"/>
                <w:sz w:val="18"/>
                <w:szCs w:val="18"/>
                <w:color w:val="auto"/>
              </w:rPr>
              <w:t>3-10</w:t>
            </w:r>
          </w:p>
        </w:tc>
      </w:tr>
      <w:tr>
        <w:trPr>
          <w:trHeight w:val="486"/>
        </w:trPr>
        <w:tc>
          <w:tcPr>
            <w:tcW w:w="13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480" w:type="dxa"/>
            <w:vAlign w:val="bottom"/>
          </w:tcPr>
          <w:p>
            <w:pPr>
              <w:jc w:val="right"/>
              <w:ind w:right="4530"/>
              <w:spacing w:after="0"/>
              <w:rPr>
                <w:sz w:val="20"/>
                <w:szCs w:val="20"/>
                <w:color w:val="auto"/>
              </w:rPr>
            </w:pPr>
            <w:r>
              <w:rPr>
                <w:rFonts w:ascii="Arial" w:cs="Arial" w:eastAsia="Arial" w:hAnsi="Arial"/>
                <w:sz w:val="18"/>
                <w:szCs w:val="18"/>
                <w:color w:val="auto"/>
              </w:rPr>
              <w:t>8</w:t>
            </w:r>
          </w:p>
        </w:tc>
        <w:tc>
          <w:tcPr>
            <w:tcW w:w="102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WESTLAKE CHEMICAL OPCO LP</w:t>
      </w:r>
    </w:p>
    <w:p>
      <w:pPr>
        <w:spacing w:after="0" w:line="7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The accounting guidance for the impairment or disposal of long-lived assets requires that OpCo assess long-lived assets for impairment whenever events or changes in circumstances indicate that the carrying amount of an asset may not be recoverable, including when negative conditions such as significant current or projected operating losses exist. Other factors considered by OpCo when determining if an impairment assessment is necessary include, but are not limited to,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United States and world economies and uncertainties associated with governmental actions. Long-lived assets assessed for impairment are grouped at the lowest level for which identifiable cash flows are largely independent of the cash flows of other assets and liabilities. Recoverability of assets to be held and used is measured by a comparison of the carrying amount of an asset to future net undiscounted cash flows expected to be generated by the asset. Assets are considered to be impaired if the carrying amount of an asset exceeds the future undiscounted cash flows. The impairment recognized is measured by the amount by which the carrying amount of the assets exceeds the fair value of the assets. Assets to be disposed of are reported at the lower of the carrying amount or estimated fair value less costs to sell.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Intangible Assets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accounting guidance for goodwill and intangible assets requires that goodwill and indefinite-lived intangible assets be tested for impairment at least annually. Other intangible assets with finite lives are amortized over their estimated useful life and reviewed for impairment in accordance with the provisions of the accounting guidance. As of December 31, 2015, OpCo recorded goodwill of $5,814. See Note 8 for more information on OpCo's annual goodwill impairment test.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Turnaround Costs</w:t>
      </w:r>
    </w:p>
    <w:p>
      <w:pPr>
        <w:spacing w:after="0" w:line="9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OpCo accounts for turnaround costs under the deferral method. Turnarounds are the scheduled and required shutdowns of specific operating units in order to perform planned major maintenance activities. The costs related to the significant overhaul and refurbishment activities include maintenance materials, parts and direct labor costs. The costs of the turnaround are deferred when incurred at the time of the turnaround and amortized (within depreciation and amortization) on a straight-line basis until the next planned turnaround, which ranges from three to six years. Deferred turnaround costs are presented as a component of other assets, net. The cash outflows related to these costs are included in operating activities in the statement of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Exchanges</w:t>
      </w:r>
    </w:p>
    <w:p>
      <w:pPr>
        <w:spacing w:after="0" w:line="9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OpCo enters into inventory exchange transactions with respect to ethylene. These exchanges are settled in like-kind quantities and are valued at lower of cost or market. Cost is determined using the FIFO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Financial instruments which potentially subject OpCo to concentration of risk consist principally of trade receivables from third-party customers who purchase ethylene and ethylene co-products. OpCo performs periodic credit evaluations, as applicable, of the customers' financial condition and generally does not require collateral. OpCo maintains allowances for potential losses, as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Revenue is recognized when persuasive evidence of an arrangement exists, products are delivered to the customer, the sales price is fixed or determinable, and collectibility is reasonably assured. Title and risk of loss passes to the customer upon delivery under executed customer purchase orders or contracts. Provisions for discounts, rebates and returns are provided for in the same period as the related sales are recorded.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Costs</w:t>
      </w:r>
    </w:p>
    <w:p>
      <w:pPr>
        <w:spacing w:after="0" w:line="9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Environmental costs relating to current operations are expensed or capitalized, as appropriate, depending on whether such costs provide future economic benefits. Remediation liabilities are recognized when the costs are considered probable and can be reasonably estimated. Measurement of liabilities is based on currently enacted laws and regulations, existing technology and undiscounted site-specific costs. Environmental liabilities in connection with properties that are sold or closed are realized upon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WESTLAKE CHEMICAL OPCO LP</w:t>
      </w:r>
    </w:p>
    <w:p>
      <w:pPr>
        <w:spacing w:after="0" w:line="7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such sale or closure, to the extent they are probable and estimable and not previously reserved. Recognition of any joint and several liabilities is based upon OpCo's best estimate of its final pro rata share of the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amounts reported in the balance sheets for cash and cash equivalents, accounts receivable, net and accounts payable approximate their fair value due to the short maturities of these instruments. The fair value of OpCo's promissory notes payable to Westlake, which were assumed by OpCo in connection with the IPO (the "August 2013 Promissory Notes"), at December 31, 2014, approximates the fair value. The fair value of OpCo's senior unsecured revolving credit facility debt differs from the carrying value. The fair value of the financial instruments is estimated using quoted market prices in active markets and observable market-based inputs or unobservable inputs that are corroborated by market data when active markets are not available or unobservable inputs that are not corroborated by market data. See Note 11 for more information on the fair value of financial instruments.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OpCo is a limited partnership and is treated as a partnership for U.S. federal income tax purposes and, therefore, is not liable for entity-level federal income taxes. OpCo is, however, subject to state and local income taxes. The Predecessor's operating results were included in Westlake's consolidated U.S. federal and state income tax returns. Amounts presented in the combined financial statements prior to the IPO relate to income taxes that have been determined on a separate tax return basis and the Predecessor's contribution to Westlake Chemical Corporation's net operating losses and tax credits have been included in the Predecessor's financial statements. The Predecessor utilized the liability method of accounting for deferred income taxes. Under the liability method, deferred tax assets or liabilities are recorded based upon temporary differences between the tax basis of assets and liabilities and their carrying values for financial reporting purposes. Deferred tax expense or benefit is the result of changes in the deferred tax assets and liabilities during the period. Valuation allowances were recorded against deferred tax assets when it was considered more likely than not that the deferred tax assets will not be realized on a separate tax return basis.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revenues and expenses, and the disclosure of contingent assets and liabilities. Actual results could differ from those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w:t>
      </w:r>
    </w:p>
    <w:p>
      <w:pPr>
        <w:spacing w:after="0" w:line="90"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In the combined statements of changes in equity, net investment represents Westlake's historical investment in the Predecessor, its accumulated net earnings after taxes and the net effect of transactions with, and allocations from, Westlake.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other assets (see Note 8) are amortized over periods ranging from five to 15 years using the straight-line method.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OpCo has reported no comprehensive income in the years presented due to the absence of items of other comprehensive income.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Initial Public Offering and Purchase of Additional Interests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90" w:lineRule="exact"/>
        <w:rPr>
          <w:sz w:val="20"/>
          <w:szCs w:val="20"/>
          <w:color w:val="auto"/>
        </w:rPr>
      </w:pPr>
    </w:p>
    <w:p>
      <w:pPr>
        <w:ind w:right="400" w:firstLine="432"/>
        <w:spacing w:after="0" w:line="312" w:lineRule="auto"/>
        <w:rPr>
          <w:sz w:val="20"/>
          <w:szCs w:val="20"/>
          <w:color w:val="auto"/>
        </w:rPr>
      </w:pPr>
      <w:r>
        <w:rPr>
          <w:rFonts w:ascii="Arial" w:cs="Arial" w:eastAsia="Arial" w:hAnsi="Arial"/>
          <w:sz w:val="16"/>
          <w:szCs w:val="16"/>
          <w:color w:val="auto"/>
        </w:rPr>
        <w:t>On July 30, 2014, the Partnership's common units began trading on the New York Stock Exchange under the ticker symbol "WLKP." On August 4, 2014, the Partnership completed the IPO of 12,937,500 common units at a price to the public of $24.00 per unit ($22.53 per unit net of underwriting discount), including 1,687,500 common units that were issued pursuant to the exercise in full of the underwriters' over-allotment option.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u w:val="single" w:color="auto"/>
          <w:color w:val="0000EE"/>
        </w:rPr>
        <w:t>Table of Contents</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WESTLAKE CHEMICAL OPCO LP</w:t>
      </w:r>
    </w:p>
    <w:p>
      <w:pPr>
        <w:spacing w:after="0" w:line="7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362"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In connection with the IPO, in exchange for Westlake's contribution of a 5.8% limited partner interest in OpCo and OpCo's general partner interest to the Partnership, Westlake received:</w:t>
      </w:r>
    </w:p>
    <w:p>
      <w:pPr>
        <w:spacing w:after="0" w:line="35"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1,436,115 common units and 12,686,115 subordinated units;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Partnership's general partner interest and its incentive distribution rights.</w:t>
      </w:r>
    </w:p>
    <w:p>
      <w:pPr>
        <w:spacing w:after="0" w:line="17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Partnership received net proceeds of $286,088 from the IPO, net of underwriting discounts, structuring fees and offering expenses of approximately $24,412. The Partnership used the net proceeds from the IPO to purchase an additional 4.8% limited partner interest in OpCo, resulting in the Partnership owning a 10.6% limited partner interest in OpCo.</w:t>
      </w:r>
    </w:p>
    <w:p>
      <w:pPr>
        <w:spacing w:after="0" w:line="12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From the period beginning August 4, 2012 to July 31, 2013, Westlake incurred approximately $151,729 in capital expenditures (the "Pre-August 2013 Capex") with respect to the assets contributed to OpCo. The portion of these capital expenditures incurred before January 1, 2013 was accounted for as an adjustment to net investment, as it was funded through equity. The portion of the capital expenditures incurred from January 1, 2013 through July 31, 2013 was accounted for as a liability and is reflected as such on the Predecessor's combined financial statements, and the associated liability was retained by Westlake in connection with the IPO. During the period from August 1, 2013 through August 3, 2014, Westlake funded capital expenditures of $246,056 related to the Contributed Assets under the terms of the August 2013 Promissory Notes. At the closing of the IPO, the outstanding balance of the August 2013 Promissory Notes was $246,056.</w:t>
      </w:r>
    </w:p>
    <w:p>
      <w:pPr>
        <w:spacing w:after="0" w:line="135"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OpCo used the $286,088 it received from the Partnership in exchange for a 4.8% limited partner interest in OpCo to (1) establish a $55,419 turnaround reserve, (2) reimburse Westlake $151,729 for the Pre-August 2013 Capex, and (3) repay $78,940 of the August 2013 Promissory Notes assumed by OpCo. Immediately after the repayment, the outstanding indebtedness payable to Westlake under the August 2013 Promissory Notes was $167,116.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Westlake and Related Parties</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agreements described below became effective on August 4, 2014, concurrent with the closing of the IPO.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OpCo entered into a 12-year ethylene sales agreement with Westlake (the "Ethylene Sales Agreement"). The Ethylene Sales Agreement requires Westlake to purchase a minimum volume of ethylene each year equal to 95% of OpCo's planned ethylene production per year (the "Minimum Commitment"), subject to certain exceptions and a maximum commitment of 3.8 billion pounds per year. So long as Westlake is not in default under the Ethylene Sales Agreement, if OpCo's actual production exceeds planned production, Westlake has the option to purchase up to 95% of the excess production (the "Excess Production Option").</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fee for each pound of ethylene purchased by Westlake from OpCo up to the Minimum Commitment in any calendar year will equal:</w:t>
      </w:r>
    </w:p>
    <w:p>
      <w:pPr>
        <w:spacing w:after="0" w:line="90" w:lineRule="exact"/>
        <w:rPr>
          <w:sz w:val="20"/>
          <w:szCs w:val="20"/>
          <w:color w:val="auto"/>
        </w:rPr>
      </w:pPr>
    </w:p>
    <w:p>
      <w:pPr>
        <w:ind w:left="660" w:right="440" w:hanging="328"/>
        <w:spacing w:after="0" w:line="334"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actual price OpCo pays Westlake to purchase ethane (or other feedstock, such as propane, if applicable) to produce each pound of ethylene, subject to a specified cap and a floor on the amount of feedstock that should be needed to produce each pound of ethylene; plus</w:t>
      </w:r>
    </w:p>
    <w:p>
      <w:pPr>
        <w:spacing w:after="0" w:line="1"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actual price OpCo pays Westlake to purchase natural gas to produce each pound of ethylene, subject to a specified cap and a floor on the amount of natural gas that should be needed to produce each pound of ethylene; plus</w:t>
      </w:r>
    </w:p>
    <w:p>
      <w:pPr>
        <w:spacing w:after="0" w:line="3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OpCo's estimated operating costs (including selling, general and administrative expenses), divided by OpCo's planned ethylene production for the year (in pounds); plus</w:t>
      </w:r>
    </w:p>
    <w:p>
      <w:pPr>
        <w:spacing w:after="0" w:line="3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five-year average of OpCo's expected future maintenance capital expenditures and other turnaround expenditures, divided by OpCo's planned ethylene production capacity for the year (in pounds); less</w:t>
      </w:r>
    </w:p>
    <w:p>
      <w:pPr>
        <w:spacing w:after="0" w:line="35" w:lineRule="exact"/>
        <w:rPr>
          <w:rFonts w:ascii="Arial" w:cs="Arial" w:eastAsia="Arial" w:hAnsi="Arial"/>
          <w:sz w:val="18"/>
          <w:szCs w:val="18"/>
          <w:color w:val="auto"/>
        </w:rPr>
      </w:pPr>
    </w:p>
    <w:p>
      <w:pPr>
        <w:ind w:left="660" w:right="500" w:hanging="328"/>
        <w:spacing w:after="0" w:line="308"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proceeds (on a per pound of ethylene basis) received by OpCo from the sale of co-products (including, but not limited to, propylene, crude butadiene, pyrolysis gasoline and hydrogen) associated with producing the ethylene purchased by Westlake; plus</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$0.10 per pound margin.</w:t>
      </w:r>
    </w:p>
    <w:p>
      <w:pPr>
        <w:spacing w:after="0" w:line="17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fee for the Excess Production Option, if exercised, equals OpCo's estimated variable operating costs of producing the incremental ethylene, net of revenues from co-products sales plus a $0.10 per pound margin.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u w:val="single" w:color="auto"/>
          <w:color w:val="0000EE"/>
        </w:rPr>
        <w:t>Table of Contents</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WESTLAKE CHEMICAL OPCO LP</w:t>
      </w:r>
    </w:p>
    <w:p>
      <w:pPr>
        <w:spacing w:after="0" w:line="7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362"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estimated operating costs and the expected future maintenance capital expenditures and other turnaround expenditures will be adjusted at the end of each year, to be applicable for the fee for the next calendar year, to reflect certain changes in forecasted costs.</w:t>
      </w:r>
    </w:p>
    <w:p>
      <w:pPr>
        <w:spacing w:after="0" w:line="116"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result of the fee structure is that OpCo should recover the portion of its total operating costs and maintenance capital expenditures and other turnaround expenditures corresponding to the portion of OpCo's aggregate production that is purchased by Westlake. Any shortfall in recovery of such costs is recognized during the current year and is recoverable from Westlake in the subsequent year.</w:t>
      </w:r>
    </w:p>
    <w:p>
      <w:pPr>
        <w:spacing w:after="0" w:line="127"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Ethylene Sales Agreement has an initial term extending until December 31, 2026 and automatically renews thereafter for successive 12-month terms unless terminated.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 Supply Agreement</w:t>
      </w:r>
    </w:p>
    <w:p>
      <w:pPr>
        <w:spacing w:after="0" w:line="90" w:lineRule="exact"/>
        <w:rPr>
          <w:sz w:val="20"/>
          <w:szCs w:val="20"/>
          <w:color w:val="auto"/>
        </w:rPr>
      </w:pPr>
    </w:p>
    <w:p>
      <w:pPr>
        <w:ind w:right="360" w:firstLine="432"/>
        <w:spacing w:after="0" w:line="297" w:lineRule="auto"/>
        <w:rPr>
          <w:sz w:val="20"/>
          <w:szCs w:val="20"/>
          <w:color w:val="auto"/>
        </w:rPr>
      </w:pPr>
      <w:r>
        <w:rPr>
          <w:rFonts w:ascii="Arial" w:cs="Arial" w:eastAsia="Arial" w:hAnsi="Arial"/>
          <w:sz w:val="16"/>
          <w:szCs w:val="16"/>
          <w:color w:val="auto"/>
        </w:rPr>
        <w:t>OpCo entered into a feedstock supply agreement with Westlake, pursuant to which Westlake agreed to sell to OpCo ethane and other feedstock in amounts sufficient for OpCo to produce the ethylene to be sold under the Ethylene Sales Agreement (the "Feedstock Supply Agreement"). The Feedstock Supply Agreement provides that OpCo may obtain feedstock from Westlake based on Westlake's total cost of purchasing and delivering the feedstock, including applicable transportation, storage and other costs. Title and risk of loss for all feedstock purchased by OpCo through the Feedstock Supply Agreement passes to OpCo upon delivery to one of three delivery points described in the Feedstock Supply Agreement.</w:t>
      </w:r>
    </w:p>
    <w:p>
      <w:pPr>
        <w:spacing w:after="0" w:line="104"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Feedstock Supply Agreement has an initial term extending until December 31, 2026 and automatically renews thereafter for successive 12-month terms unless terminated by either party; provided, however, that such agreement can only be renewed in the event the Ethylene Sales Agreement is renewed simultaneously. The Feedstock Supply Agreement may, in certain circumstances, terminate concurrently with the termination of the Ethylene Sales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OpCo entered into a Services and Secondment Agreement with Westlake, pursuant to which OpCo provides Westlake with certain services required for the operation of Westlake's facilities; and Westlake provides OpCo with comprehensive operating services for OpCo's facilities, ranging from services relating to the maintenance and operations of the common facilities necessary for the operation of OpCo's units, to making available certain shared utilities such as electricity and natural gas that are necessary for the operation of OpCo's units. Westlake also seconds employees to OpCo to allow OpCo to operate its facilities. Such seconded employees are under the control of OpCo while they work on OpCo's facilities.</w:t>
      </w:r>
    </w:p>
    <w:p>
      <w:pPr>
        <w:spacing w:after="0" w:line="11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Services and Secondment Agreement has an initial 12-year term. The Services and Secondment Agreement may be renewed thereafter upon agreement of the parties and shall automatically terminate if the Ethylene Sales Agreement terminates under certain circumstances. Westlake and OpCo each can terminate the Services and Secondment Agreement under certain circumstances, including if the other party materially defaults on the performance of its obligations and such default continues for a 30-day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Lease Agreements</w:t>
      </w:r>
    </w:p>
    <w:p>
      <w:pPr>
        <w:spacing w:after="0" w:line="90"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OpCo entered into two site lease agreements with Westlake pursuant to which Westlake leases to OpCo the real property underlying Lake Charles Olefins and Calvert City Olefins, respectively, and grants OpCo rights to access and use certain other portions of Westlake's natural gas liquids processing facilities that are necessary to operate OpCo's production facilities. OpCo owes Westlake one dollar per site per year. The site lease agreements each have a term of 50 years. Each of the site lease agreements may be renewed if agreed by the parties.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90"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OpCo, the Partnership and certain related parties entered into an Omnibus Agreement with Westlake that addresses (1) Westlake's indemnification of OpCo and the Partnership for certain matters, including environmental and tax matters, (2) the provision by Westlake of certain management and other general and administrative services to OpCo and the Partnership and its general partner and (3) OpCo and the Partnership's reimbursement to Westlake for such services. The Omnibus Agreement also addresses Westlake's right of first refusal on any proposed transfer of the natural gas liquids processing facilities that serve Westlake's other facilities and Westlake's right of first refusal on any proposed transfer of the Partnership's equity interests in OpCo.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WESTLAKE CHEMICAL OPCO LP</w:t>
      </w:r>
    </w:p>
    <w:p>
      <w:pPr>
        <w:spacing w:after="0" w:line="7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Additional Interests in OpCo</w:t>
      </w:r>
    </w:p>
    <w:p>
      <w:pPr>
        <w:spacing w:after="0" w:line="90"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On April 29, 2015, the Partnership purchased an additional 2.7% newly-issued limited partner interest in OpCo for approximately $135.3 million, resulting in an aggregate 13.3% limited partner interest in OpCo effective April 1, 2015. Westlake owns the remaining 86.7% limited partner interest in OpCo.</w:t>
      </w:r>
    </w:p>
    <w:p>
      <w:pPr>
        <w:spacing w:after="0" w:line="204" w:lineRule="exact"/>
        <w:rPr>
          <w:sz w:val="20"/>
          <w:szCs w:val="20"/>
          <w:color w:val="auto"/>
        </w:rPr>
      </w:pPr>
    </w:p>
    <w:p>
      <w:pPr>
        <w:jc w:val="both"/>
        <w:ind w:right="8400" w:firstLine="8"/>
        <w:spacing w:after="0" w:line="416" w:lineRule="auto"/>
        <w:tabs>
          <w:tab w:leader="none" w:pos="180" w:val="left"/>
        </w:tabs>
        <w:numPr>
          <w:ilvl w:val="0"/>
          <w:numId w:val="6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Recent Accounting Pronouncements </w:t>
      </w:r>
      <w:r>
        <w:rPr>
          <w:rFonts w:ascii="Arial" w:cs="Arial" w:eastAsia="Arial" w:hAnsi="Arial"/>
          <w:sz w:val="15"/>
          <w:szCs w:val="15"/>
          <w:b w:val="1"/>
          <w:bCs w:val="1"/>
          <w:i w:val="1"/>
          <w:iCs w:val="1"/>
          <w:color w:val="auto"/>
        </w:rPr>
        <w:t>Revenue from Contracts with Customers</w:t>
      </w:r>
    </w:p>
    <w:p>
      <w:pPr>
        <w:ind w:right="20" w:firstLine="405"/>
        <w:spacing w:after="0" w:line="288" w:lineRule="auto"/>
        <w:rPr>
          <w:sz w:val="20"/>
          <w:szCs w:val="20"/>
          <w:color w:val="auto"/>
        </w:rPr>
      </w:pPr>
      <w:r>
        <w:rPr>
          <w:rFonts w:ascii="Arial" w:cs="Arial" w:eastAsia="Arial" w:hAnsi="Arial"/>
          <w:sz w:val="16"/>
          <w:szCs w:val="16"/>
          <w:color w:val="auto"/>
        </w:rPr>
        <w:t>In May 2014, the Financial Accounting Standards Board ("FASB") issued an accounting standards update on a comprehensive new revenue recognition standard that will supersede the existing revenue recognition guidance. The new accounting guidance creates a framework by which an entity will allocate the transaction price to separate performance obligations and recognize revenue when each performance obligation is satisfied. Under the new standard, entities will be required to use judgment and make estimates, including identifying performance obligations in a contract, estimating the amount of variable consideration to include in the transaction price, allocating the transaction price to each separate performance obligation and determining when an entity satisfies its performance obligations. The standard allows for either "full retrospective" adoption, meaning that the standard is applied to all of the periods presented with a cumulative catch-up as of the earliest period presented, or "modified retrospective" adoption, meaning the standard is applied only to the most current period presented in the financial statements with a cumulative catch-up as of the current period. In July 2015, the FASB deferred the effective date for the revenue recognition standard. The accounting standard will now be effective for reporting periods beginning after December 15, 2017. OpCo is in the process of evaluating the impact that the new accounting guidance will have on its financial position, results of operations and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Simplifying Income Statement Presentation by Eliminating the Concept of Extraordinary Items</w:t>
      </w:r>
    </w:p>
    <w:p>
      <w:pPr>
        <w:spacing w:after="0" w:line="90"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In January 2015, the FASB issued an accounting standards update to simplify income statement classification by removing the concept of extraordinary items from U.S. GAAP. Under the new standard, an unusual and infrequent event or transaction is no longer allowed to be separately disclosed as "extraordinary." The standard retains the existing requirement to separately present items that are of an unusual nature or occur infrequently on a pre-tax basis within income from continuing operations. The new guidance also requires similar separate presentation of items that are both unusual and infrequent on a pre-tax basis within income from continuing operations. The standard allows for either prospective or retrospective application. If adopted prospectively, both the nature and amount of any subsequent adjustments to previously reported extraordinary items must be disclosed. The accounting standard will be effective for reporting periods beginning after December 15, 2015 and is not expected to have an impact on OpCo's financial position, results of operations and cash flows.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Simplifying the Measurement of Inventory</w:t>
      </w:r>
    </w:p>
    <w:p>
      <w:pPr>
        <w:spacing w:after="0" w:line="90" w:lineRule="exact"/>
        <w:rPr>
          <w:sz w:val="20"/>
          <w:szCs w:val="20"/>
          <w:color w:val="auto"/>
        </w:rPr>
      </w:pPr>
    </w:p>
    <w:p>
      <w:pPr>
        <w:ind w:right="360" w:firstLine="405"/>
        <w:spacing w:after="0" w:line="273" w:lineRule="auto"/>
        <w:rPr>
          <w:sz w:val="20"/>
          <w:szCs w:val="20"/>
          <w:color w:val="auto"/>
        </w:rPr>
      </w:pPr>
      <w:r>
        <w:rPr>
          <w:rFonts w:ascii="Arial" w:cs="Arial" w:eastAsia="Arial" w:hAnsi="Arial"/>
          <w:sz w:val="17"/>
          <w:szCs w:val="17"/>
          <w:color w:val="auto"/>
        </w:rPr>
        <w:t>In July 2015, the FASB issued an accounting standards update that requires entities to measure inventory at the lower of cost or net realizable value rather than at the lower of cost or market. Net realizable value is the estimated selling price in the ordinary course of business, less reasonably predictable costs of completion, disposal and transportation. Under the new standard, entities will no longer need to calculate other measures of "market." The new accounting guidance applies only to inventories for which cost is determined by methods other than last-in first-out and the retail inventory method. The accounting standard will be effective for reporting periods beginning after December 15, 2016 and is not expected to have a significant impact on OpCo's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Classification of Deferred Taxes</w:t>
      </w:r>
    </w:p>
    <w:p>
      <w:pPr>
        <w:spacing w:after="0" w:line="9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In November 2015, the FASB issued an accounting standards update that requires that all deferred tax assets and liabilities, along with any related valuation allowance, to be classified as noncurrent on the balance sheet. As a result, each jurisdiction will now only have one net noncurrent deferred tax asset or liability. The new guidance does not change the existing requirement that only permits offsetting within a jurisdiction. The accounting standard will be effective for reporting periods beginning after December 15, 2016 and is not expected to have an impact on OpCo's financial position, results of operations and cash flows. Early adoption is permitted for all entities as of the beginning of an interim or annual reporting period.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WESTLAKE CHEMICAL OPCO LP</w:t>
      </w:r>
    </w:p>
    <w:p>
      <w:pPr>
        <w:spacing w:after="0" w:line="7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9520" w:firstLine="8"/>
        <w:spacing w:after="0" w:line="390" w:lineRule="auto"/>
        <w:tabs>
          <w:tab w:leader="none" w:pos="180"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Instruments </w:t>
      </w:r>
      <w:r>
        <w:rPr>
          <w:rFonts w:ascii="Arial" w:cs="Arial" w:eastAsia="Arial" w:hAnsi="Arial"/>
          <w:sz w:val="16"/>
          <w:szCs w:val="16"/>
          <w:b w:val="1"/>
          <w:bCs w:val="1"/>
          <w:i w:val="1"/>
          <w:iCs w:val="1"/>
          <w:color w:val="auto"/>
        </w:rPr>
        <w:t>Cash Equivalents</w:t>
      </w:r>
    </w:p>
    <w:p>
      <w:pPr>
        <w:jc w:val="both"/>
        <w:ind w:right="240" w:firstLine="405"/>
        <w:spacing w:after="0" w:line="264" w:lineRule="auto"/>
        <w:rPr>
          <w:sz w:val="20"/>
          <w:szCs w:val="20"/>
          <w:color w:val="auto"/>
        </w:rPr>
      </w:pPr>
      <w:r>
        <w:rPr>
          <w:rFonts w:ascii="Arial" w:cs="Arial" w:eastAsia="Arial" w:hAnsi="Arial"/>
          <w:sz w:val="18"/>
          <w:szCs w:val="18"/>
          <w:color w:val="auto"/>
        </w:rPr>
        <w:t>OpCo had $150,031 and $40,003 of held-to-maturity securities with original maturities of three months or less, primarily consisting of corporate debt securities, classified as cash equivalents at December 31, 2015 and December 31, 2014, respectively. OpCo's investments in held-to-maturity securities are held at amortized cost, which approximates fair value.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Receivable—Third Parties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customers</w:t>
            </w: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12,097</w:t>
            </w: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37,514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37,514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 net—third parties</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11,927</w:t>
            </w:r>
          </w:p>
        </w:tc>
        <w:tc>
          <w:tcPr>
            <w:tcW w:w="2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 Inventories</w:t>
            </w: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20" w:type="dxa"/>
            <w:vAlign w:val="bottom"/>
          </w:tcPr>
          <w:p>
            <w:pPr>
              <w:ind w:left="440"/>
              <w:spacing w:after="0"/>
              <w:rPr>
                <w:sz w:val="20"/>
                <w:szCs w:val="20"/>
                <w:color w:val="auto"/>
              </w:rPr>
            </w:pPr>
            <w:r>
              <w:rPr>
                <w:rFonts w:ascii="Arial" w:cs="Arial" w:eastAsia="Arial" w:hAnsi="Arial"/>
                <w:sz w:val="18"/>
                <w:szCs w:val="18"/>
                <w:color w:val="auto"/>
              </w:rPr>
              <w:t>Inventories consist of the following:</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Feedstock, additives and chemicals</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2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7. Property, Plant and Equipment</w:t>
            </w: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20" w:type="dxa"/>
            <w:vAlign w:val="bottom"/>
          </w:tcPr>
          <w:p>
            <w:pPr>
              <w:ind w:left="440"/>
              <w:spacing w:after="0"/>
              <w:rPr>
                <w:sz w:val="20"/>
                <w:szCs w:val="20"/>
                <w:color w:val="auto"/>
              </w:rPr>
            </w:pPr>
            <w:r>
              <w:rPr>
                <w:rFonts w:ascii="Arial" w:cs="Arial" w:eastAsia="Arial" w:hAnsi="Arial"/>
                <w:sz w:val="18"/>
                <w:szCs w:val="18"/>
                <w:color w:val="auto"/>
              </w:rPr>
              <w:t>Property, plant and equipment consist of the following:</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improvements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16,124</w:t>
            </w: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Plant and equipment</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1,231,684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1,151,091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67,353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61,533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3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1,315,161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1,227,585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(601,980)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(550,568)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3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713,181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677,017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307,288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165,040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1,020,469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842,057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Depreciation expense on property, plant and equipment of $64,369, $60,004 and $57,299 is included in cost of sales in the combined statements of operations for the years ended December 31, 2015, 2014 and 2013,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u w:val="single" w:color="auto"/>
          <w:color w:val="0000EE"/>
        </w:rPr>
        <w:t>Table of Contents</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WESTLAKE CHEMICAL OPCO LP</w:t>
      </w:r>
    </w:p>
    <w:p>
      <w:pPr>
        <w:spacing w:after="0" w:line="7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Assets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assets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2015</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2014</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Asset—Goodwill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5,814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Deferred charges and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jc w:val="center"/>
              <w:ind w:right="1710"/>
              <w:spacing w:after="0"/>
              <w:rPr>
                <w:sz w:val="20"/>
                <w:szCs w:val="20"/>
                <w:color w:val="auto"/>
              </w:rPr>
            </w:pPr>
            <w:r>
              <w:rPr>
                <w:rFonts w:ascii="Arial" w:cs="Arial" w:eastAsia="Arial" w:hAnsi="Arial"/>
                <w:sz w:val="18"/>
                <w:szCs w:val="18"/>
                <w:color w:val="auto"/>
                <w:w w:val="83"/>
              </w:rPr>
              <w:t>other assets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Turnaround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100,020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32,253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96,835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45,299</w:t>
            </w:r>
          </w:p>
        </w:tc>
        <w:tc>
          <w:tcPr>
            <w:tcW w:w="102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980" w:type="dxa"/>
            <w:vAlign w:val="bottom"/>
          </w:tcPr>
          <w:p>
            <w:pPr>
              <w:jc w:val="center"/>
              <w:ind w:right="1710"/>
              <w:spacing w:after="0"/>
              <w:rPr>
                <w:sz w:val="20"/>
                <w:szCs w:val="20"/>
                <w:color w:val="auto"/>
              </w:rPr>
            </w:pPr>
            <w:r>
              <w:rPr>
                <w:rFonts w:ascii="Arial" w:cs="Arial" w:eastAsia="Arial" w:hAnsi="Arial"/>
                <w:sz w:val="18"/>
                <w:szCs w:val="18"/>
                <w:color w:val="auto"/>
                <w:w w:val="93"/>
              </w:rPr>
              <w:t>Other</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8,710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6,090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8,662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6,620</w:t>
            </w:r>
          </w:p>
        </w:tc>
        <w:tc>
          <w:tcPr>
            <w:tcW w:w="1020" w:type="dxa"/>
            <w:vAlign w:val="bottom"/>
            <w:gridSpan w:val="2"/>
          </w:tcPr>
          <w:p>
            <w:pPr>
              <w:jc w:val="right"/>
              <w:ind w:right="288"/>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deferred charges and</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jc w:val="center"/>
              <w:ind w:right="1710"/>
              <w:spacing w:after="0"/>
              <w:rPr>
                <w:sz w:val="20"/>
                <w:szCs w:val="20"/>
                <w:color w:val="auto"/>
              </w:rPr>
            </w:pPr>
            <w:r>
              <w:rPr>
                <w:rFonts w:ascii="Arial" w:cs="Arial" w:eastAsia="Arial" w:hAnsi="Arial"/>
                <w:sz w:val="18"/>
                <w:szCs w:val="18"/>
                <w:color w:val="auto"/>
                <w:w w:val="83"/>
              </w:rPr>
              <w:t>other assets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108,730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38,343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105,497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51,919</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98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114,544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(70,387)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44,157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111,311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(53,578)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57,733</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Amortization expense on other assets of $16,841, $17,607 and $16,164 is included in the combined statements of operations for the years ended December 31, 2015, 2014 and 2013,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The impairment test for the recorded goodwill was performed in October 2015 and did not indicate impairment of the goodwill. The fair value of the goodwill was calculated using both a discounted cash flow methodology and a market value methodology. The discounted cash flow projections were based on a nine-year forecast, from 2016 to 2024, to reflect the cyclicality of OpCo's business. The forecast was based on (1) prices and spreads projected by IHS Chemical, a chemical industry organization offering market and business advisory services for the chemical market, for the same period, and (2) estimates by management, including their strategic and operational plans. Other significant assumptions used in the discounted cash flow projection included sales volumes based on current capacities. The future cash flows were discounted to present value using a discount rate of 8.8%. The significant assumptions used in determining the fair value of the reporting unit using the market value methodology include the determination of appropriate market comparables and the estimated multiples of EBITDA a willing buyer is likely to pay. Under the discounted cash flow methodology, even if the fair value of OpCo decreased by 10%, the carrying value of OpCo would not exceed its fair value.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15"/>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August 2013 Promissory Notes (variable interest rate of prime plus 1.5%, original</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scheduled maturity of August 1, 2023)</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31,775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167,116</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rPr>
              <w:t>OpCo Revolver (variable interest rate of London Interbank Offered Rate ("LIBOR") plus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3.0%, original scheduled maturity of August 4, 2019)</w:t>
            </w:r>
          </w:p>
        </w:tc>
        <w:tc>
          <w:tcPr>
            <w:tcW w:w="360" w:type="dxa"/>
            <w:vAlign w:val="bottom"/>
          </w:tcPr>
          <w:p>
            <w:pPr>
              <w:spacing w:after="0"/>
              <w:rPr>
                <w:sz w:val="20"/>
                <w:szCs w:val="20"/>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216,890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60,522</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248,665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227,638</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2013, the August 2013 Promissory Notes were issued for capital expenditures incurred by Westlake on behalf of the Predecessor's operations. Proceeds drawn under the August 2013 Promissory Notes during 2014 were used to fund capital expenditures at the Predecessor's ethylene plants. In connection with the IPO, OpCo assumed the August 2013 Promissory Notes and used proceeds from the IPO to repay a portion of the balance it assumed. See Note 2 for a description of the August 2013 Promissory Notes and proceeds used to repay balances of such promissory notes assumed in connection with the IPO.</w:t>
      </w:r>
    </w:p>
    <w:p>
      <w:pPr>
        <w:spacing w:after="0" w:line="134" w:lineRule="exact"/>
        <w:rPr>
          <w:sz w:val="20"/>
          <w:szCs w:val="20"/>
          <w:color w:val="auto"/>
        </w:rPr>
      </w:pPr>
    </w:p>
    <w:p>
      <w:pPr>
        <w:jc w:val="both"/>
        <w:ind w:right="120" w:firstLine="432"/>
        <w:spacing w:after="0" w:line="286" w:lineRule="auto"/>
        <w:rPr>
          <w:sz w:val="20"/>
          <w:szCs w:val="20"/>
          <w:color w:val="auto"/>
        </w:rPr>
      </w:pPr>
      <w:r>
        <w:rPr>
          <w:rFonts w:ascii="Arial" w:cs="Arial" w:eastAsia="Arial" w:hAnsi="Arial"/>
          <w:sz w:val="17"/>
          <w:szCs w:val="17"/>
          <w:color w:val="auto"/>
        </w:rPr>
        <w:t>In connection with the IPO on August 4, 2014, OpCo entered into a $600,000 senior unsecured revolving credit facility agreement with Westlake (the "OpCo Revolver"). The OpCo Revolver accrues interest quarterly at a rate of LIBOR plus 3.0%, which may be paid-in-kind as an addition to the principal at OpCo's option. Proceeds drawn under the OpCo Revolver during 2015 were used to fund capital expenditures at OpCo's ethylene plants.</w:t>
      </w:r>
    </w:p>
    <w:p>
      <w:pPr>
        <w:sectPr>
          <w:pgSz w:w="11900" w:h="16838" w:orient="portrait"/>
          <w:cols w:equalWidth="0" w:num="1">
            <w:col w:w="11420"/>
          </w:cols>
          <w:pgMar w:left="240" w:top="121"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4"/>
          <w:szCs w:val="14"/>
          <w:u w:val="single" w:color="auto"/>
          <w:color w:val="0000EE"/>
        </w:rPr>
        <w:t>Table of Contents</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WESTLAKE CHEMICAL OPCO LP</w:t>
      </w:r>
    </w:p>
    <w:p>
      <w:pPr>
        <w:spacing w:after="0" w:line="7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2015, OpCo was in compliance with all of the covenants under the August 2013 Promissory Notes and the OpCo Revolver.</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interest rate on all long-term debt was 4.23% and 4.35% at December 31, 2015 and 2014, respectively.</w:t>
      </w:r>
    </w:p>
    <w:p>
      <w:pPr>
        <w:spacing w:after="0" w:line="17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As of December 31, 2015, OpCo had no maturities of long-term debt until 2019. The OpCo Revolver matures on August 4, 2019, and the August 2013 Promissory Notes mature on August 1,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OpCo regularly enters into related party transactions with Westlake. See below for a description of transactions with related parties.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90"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OpCo sells ethylene to Westlake under the Ethylene Sales Agreement. Additionally, OpCo from time to time provides other services or products for which it charges Westlake a fee. Prior to the IPO, the Predecessor sold the majority of its ethylene to Westlake for use in Westlake's downstream operations.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2013</w:t>
            </w:r>
          </w:p>
        </w:tc>
      </w:tr>
      <w:tr>
        <w:trPr>
          <w:trHeight w:val="264"/>
        </w:trPr>
        <w:tc>
          <w:tcPr>
            <w:tcW w:w="6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center"/>
              <w:ind w:right="182"/>
              <w:spacing w:after="0"/>
              <w:rPr>
                <w:sz w:val="20"/>
                <w:szCs w:val="20"/>
                <w:color w:val="auto"/>
              </w:rPr>
            </w:pPr>
            <w:r>
              <w:rPr>
                <w:rFonts w:ascii="Arial" w:cs="Arial" w:eastAsia="Arial" w:hAnsi="Arial"/>
                <w:sz w:val="14"/>
                <w:szCs w:val="14"/>
                <w:b w:val="1"/>
                <w:bCs w:val="1"/>
                <w:i w:val="1"/>
                <w:iCs w:val="1"/>
                <w:color w:val="auto"/>
                <w:w w:val="85"/>
              </w:rPr>
              <w:t>Predecessor</w:t>
            </w: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sales—Westlake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834,918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1,292,089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1,603,043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90"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Charges for goods and services purchased by OpCo from Westlake and included in cost of sales relate primarily to feedstock purchased under the Feedstock Supply Agreement and services provided under the Services and Secondment Agreement. Prior to the IPO, services provided by Westlake and included in cost of sales related primarily to services provided by employees of Westlake Management Services, Inc., a subsidiary of Westlake. The cost of services provided by employees of Westlake Management Services, Inc. was allocated to the Predecessor's operations primarily on the basis of direct usage.</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r>
      <w:tr>
        <w:trPr>
          <w:trHeight w:val="264"/>
        </w:trPr>
        <w:tc>
          <w:tcPr>
            <w:tcW w:w="6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97"/>
              <w:spacing w:after="0"/>
              <w:rPr>
                <w:sz w:val="20"/>
                <w:szCs w:val="20"/>
                <w:color w:val="auto"/>
              </w:rPr>
            </w:pPr>
            <w:r>
              <w:rPr>
                <w:rFonts w:ascii="Arial" w:cs="Arial" w:eastAsia="Arial" w:hAnsi="Arial"/>
                <w:sz w:val="14"/>
                <w:szCs w:val="14"/>
                <w:b w:val="1"/>
                <w:bCs w:val="1"/>
                <w:i w:val="1"/>
                <w:iCs w:val="1"/>
                <w:color w:val="auto"/>
                <w:w w:val="97"/>
              </w:rPr>
              <w:t>Predecessor</w:t>
            </w: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Feedstock purchased from Westlake and included in cost of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307,582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155,232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charges from Westlake and included in cost of sales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74,050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60,264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61,770</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381,632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215,496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61,770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Charges for services purchased by OpCo from Westlake and included in selling, general and administrative expenses primarily relate to services Westlake performs on behalf of OpCo under the Omnibus Agreement, including OpCo's finance, legal, information technology, human resources, communication, ethics and compliance and other administrative functions. Prior to the IPO, the Predecessor was allocated costs incurred by Westlake on its behalf for similar functions. These allocations were based primarily on the basis of direct usage when identifiable, with the remainder allocated on the basis of fixed assets, headcount or other measure.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u w:val="single" w:color="auto"/>
          <w:color w:val="0000EE"/>
        </w:rPr>
        <w:t>Table of Contents</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WESTLAKE CHEMICAL OPCO LP</w:t>
      </w:r>
    </w:p>
    <w:p>
      <w:pPr>
        <w:spacing w:after="0" w:line="7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3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64"/>
        </w:trPr>
        <w:tc>
          <w:tcPr>
            <w:tcW w:w="6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center"/>
              <w:ind w:right="182"/>
              <w:spacing w:after="0"/>
              <w:rPr>
                <w:sz w:val="20"/>
                <w:szCs w:val="20"/>
                <w:color w:val="auto"/>
              </w:rPr>
            </w:pPr>
            <w:r>
              <w:rPr>
                <w:rFonts w:ascii="Arial" w:cs="Arial" w:eastAsia="Arial" w:hAnsi="Arial"/>
                <w:sz w:val="14"/>
                <w:szCs w:val="14"/>
                <w:b w:val="1"/>
                <w:bCs w:val="1"/>
                <w:i w:val="1"/>
                <w:iCs w:val="1"/>
                <w:color w:val="auto"/>
                <w:w w:val="85"/>
              </w:rPr>
              <w:t>Predecessor</w:t>
            </w:r>
          </w:p>
        </w:tc>
        <w:tc>
          <w:tcPr>
            <w:tcW w:w="0" w:type="dxa"/>
            <w:vAlign w:val="bottom"/>
          </w:tcPr>
          <w:p>
            <w:pPr>
              <w:spacing w:after="0"/>
              <w:rPr>
                <w:sz w:val="1"/>
                <w:szCs w:val="1"/>
                <w:color w:val="auto"/>
              </w:rPr>
            </w:pPr>
          </w:p>
        </w:tc>
      </w:tr>
      <w:tr>
        <w:trPr>
          <w:trHeight w:val="235"/>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 received from Westlake and included in selling,</w:t>
            </w:r>
          </w:p>
        </w:tc>
        <w:tc>
          <w:tcPr>
            <w:tcW w:w="900" w:type="dxa"/>
            <w:vAlign w:val="bottom"/>
            <w:vMerge w:val="restart"/>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87"/>
              </w:rPr>
              <w:t>19,822</w:t>
            </w:r>
          </w:p>
        </w:tc>
        <w:tc>
          <w:tcPr>
            <w:tcW w:w="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20,420</w:t>
            </w:r>
          </w:p>
        </w:tc>
        <w:tc>
          <w:tcPr>
            <w:tcW w:w="100" w:type="dxa"/>
            <w:vAlign w:val="bottom"/>
            <w:shd w:val="clear" w:color="auto" w:fill="CCEEFF"/>
          </w:tcPr>
          <w:p>
            <w:pPr>
              <w:spacing w:after="0"/>
              <w:rPr>
                <w:sz w:val="20"/>
                <w:szCs w:val="20"/>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24,054</w:t>
            </w:r>
          </w:p>
        </w:tc>
        <w:tc>
          <w:tcPr>
            <w:tcW w:w="0" w:type="dxa"/>
            <w:vAlign w:val="bottom"/>
          </w:tcPr>
          <w:p>
            <w:pPr>
              <w:spacing w:after="0"/>
              <w:rPr>
                <w:sz w:val="1"/>
                <w:szCs w:val="1"/>
                <w:color w:val="auto"/>
              </w:rPr>
            </w:pPr>
          </w:p>
        </w:tc>
      </w:tr>
      <w:tr>
        <w:trPr>
          <w:trHeight w:val="237"/>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vMerge w:val="continue"/>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90"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Charges for goods and services purchased by OpCo from Westlake which were capitalized as assets relate primarily to the services of Westlake employees under the Services and Secondment Agreement. Prior to the IPO, salaries and benefits of Westlake Management Services, Inc. were allocated to the Predecessor primarily on the basis of direct usage.</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2013</w:t>
            </w:r>
          </w:p>
        </w:tc>
      </w:tr>
      <w:tr>
        <w:trPr>
          <w:trHeight w:val="264"/>
        </w:trPr>
        <w:tc>
          <w:tcPr>
            <w:tcW w:w="6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center"/>
              <w:ind w:right="182"/>
              <w:spacing w:after="0"/>
              <w:rPr>
                <w:sz w:val="20"/>
                <w:szCs w:val="20"/>
                <w:color w:val="auto"/>
              </w:rPr>
            </w:pPr>
            <w:r>
              <w:rPr>
                <w:rFonts w:ascii="Arial" w:cs="Arial" w:eastAsia="Arial" w:hAnsi="Arial"/>
                <w:sz w:val="14"/>
                <w:szCs w:val="14"/>
                <w:b w:val="1"/>
                <w:bCs w:val="1"/>
                <w:i w:val="1"/>
                <w:iCs w:val="1"/>
                <w:color w:val="auto"/>
                <w:w w:val="85"/>
              </w:rPr>
              <w:t>Predecessor</w:t>
            </w: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Goods and services purchased from Westlake and capitalized as assets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4,332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5,823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20,222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from and Accounts Payable to Related Parties</w:t>
      </w:r>
    </w:p>
    <w:p>
      <w:pPr>
        <w:spacing w:after="0" w:line="90" w:lineRule="exact"/>
        <w:rPr>
          <w:sz w:val="20"/>
          <w:szCs w:val="20"/>
          <w:color w:val="auto"/>
        </w:rPr>
      </w:pPr>
    </w:p>
    <w:p>
      <w:pPr>
        <w:ind w:right="460" w:firstLine="405"/>
        <w:spacing w:after="0" w:line="264" w:lineRule="auto"/>
        <w:rPr>
          <w:sz w:val="20"/>
          <w:szCs w:val="20"/>
          <w:color w:val="auto"/>
        </w:rPr>
      </w:pPr>
      <w:r>
        <w:rPr>
          <w:rFonts w:ascii="Arial" w:cs="Arial" w:eastAsia="Arial" w:hAnsi="Arial"/>
          <w:sz w:val="18"/>
          <w:szCs w:val="18"/>
          <w:color w:val="auto"/>
        </w:rPr>
        <w:t>OpCo's accounts receivable from Westlake result primarily from ethylene sales to Westlake under the Ethylene Sales Agreement. OpCo's accounts payable to Westlake result primarily from feedstock purchases under the Feedstock Supply Agreement and services provided under the Services and Secondment Agreement and the Omnibus Agreement.</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related party accounts receivable and accounts payable balances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net—Westlake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39,655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18,529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Accounts payable—Westlake</w:t>
            </w: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15,164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5,332</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right="280" w:firstLine="405"/>
        <w:spacing w:after="0" w:line="270" w:lineRule="auto"/>
        <w:rPr>
          <w:sz w:val="20"/>
          <w:szCs w:val="20"/>
          <w:color w:val="auto"/>
        </w:rPr>
      </w:pPr>
      <w:r>
        <w:rPr>
          <w:rFonts w:ascii="Arial" w:cs="Arial" w:eastAsia="Arial" w:hAnsi="Arial"/>
          <w:sz w:val="17"/>
          <w:szCs w:val="17"/>
          <w:color w:val="auto"/>
        </w:rPr>
        <w:t>OpCo assumed the August 2013 Promissory Notes and entered into a senior unsecured revolving credit facility with Westlake in connection with the IPO. Prior to the IPO, the Predecessor funded certain capital expenditures through the August 2013 Promissory Notes payable to Westlake which were assumed by OpCo in connection with the IPO. See Note 9 for a description of related party debt payable balances. Interest on related party debt payable balances, net of capitalized interest, for the year ended December 31, 2015 and for the period from August 4, 2014 to December 31, 2014 were $2,691 and $10,499, respectively, and are reflected as a component of other income (expense) in the combined statements of operations. Interest capitalized as a component of property, plant and equipment on related party debt was $5,116 for the year ended December 31, 2015 and was $2,638 for the period from August 4, 2014 to December 31, 2014. At December 31, 2015 and 2014, accrued interest on related party debt was $1,964 and $2,403, respectively, and is reflected as a component of accrued liabilities in the balance sheets. At December 31, 2014, accrued interest of $7,506 was included as a component of the outstanding debt payable to Westlake.</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230"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5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360" w:val="left"/>
          <w:tab w:leader="none" w:pos="9120" w:val="left"/>
          <w:tab w:leader="none" w:pos="9960" w:val="left"/>
          <w:tab w:leader="none" w:pos="10700" w:val="left"/>
        </w:tabs>
        <w:rPr>
          <w:sz w:val="20"/>
          <w:szCs w:val="20"/>
          <w:color w:val="auto"/>
        </w:rPr>
      </w:pPr>
      <w:r>
        <w:rPr>
          <w:rFonts w:ascii="Arial" w:cs="Arial" w:eastAsia="Arial" w:hAnsi="Arial"/>
          <w:sz w:val="18"/>
          <w:szCs w:val="18"/>
          <w:color w:val="auto"/>
        </w:rPr>
        <w:t>Long-term debt payable to Westlake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248,665</w:t>
        <w:tab/>
        <w:t>$</w:t>
      </w:r>
      <w:r>
        <w:rPr>
          <w:sz w:val="20"/>
          <w:szCs w:val="20"/>
          <w:color w:val="auto"/>
        </w:rPr>
        <w:tab/>
      </w:r>
      <w:r>
        <w:rPr>
          <w:rFonts w:ascii="Arial" w:cs="Arial" w:eastAsia="Arial" w:hAnsi="Arial"/>
          <w:sz w:val="16"/>
          <w:szCs w:val="16"/>
          <w:color w:val="auto"/>
        </w:rPr>
        <w:t>227,638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48895</wp:posOffset>
            </wp:positionV>
            <wp:extent cx="19469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OpCo, together with other subsidiaries of Westlake not included in these combined financial statements, are guarantors under Westlake's revolving credit facility and the indentures governing its senior notes. As of December 31, 2015, Westlake had</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2" w:right="239" w:bottom="1440" w:gutter="0" w:footer="0" w:header="0"/>
          <w:type w:val="continuous"/>
        </w:sectPr>
      </w:pPr>
    </w:p>
    <w:bookmarkStart w:id="142" w:name="page143"/>
    <w:bookmarkEnd w:id="142"/>
    <w:p>
      <w:pPr>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WESTLAKE CHEMICAL OPCO LP</w:t>
      </w:r>
    </w:p>
    <w:p>
      <w:pPr>
        <w:spacing w:after="0" w:line="7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outstanding letters of credit totaling $30,098 under its revolving credit facility and $754,000 principal amount outstanding under its senior notes (less the unamortized discount of $774).</w:t>
      </w:r>
    </w:p>
    <w:p>
      <w:pPr>
        <w:spacing w:after="0" w:line="116" w:lineRule="exact"/>
        <w:rPr>
          <w:sz w:val="20"/>
          <w:szCs w:val="20"/>
          <w:color w:val="auto"/>
        </w:rPr>
      </w:pPr>
    </w:p>
    <w:p>
      <w:pPr>
        <w:ind w:right="520" w:firstLine="405"/>
        <w:spacing w:after="0" w:line="342" w:lineRule="auto"/>
        <w:rPr>
          <w:sz w:val="20"/>
          <w:szCs w:val="20"/>
          <w:color w:val="auto"/>
        </w:rPr>
      </w:pPr>
      <w:r>
        <w:rPr>
          <w:rFonts w:ascii="Arial" w:cs="Arial" w:eastAsia="Arial" w:hAnsi="Arial"/>
          <w:sz w:val="16"/>
          <w:szCs w:val="16"/>
          <w:color w:val="auto"/>
        </w:rPr>
        <w:t>The indentures governing Westlake's senior notes prevent OpCo from making distributions to the Partnership if any default or event of default (as defined in the indentures) exists. However, Westlake's credit facility does not prevent OpCo from making distributions to the Partnership.</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During the year ended December 31, 2015, OpCo reimbursed $1,033 to Westlake for certain state tax payments.</w:t>
      </w:r>
    </w:p>
    <w:p>
      <w:pPr>
        <w:spacing w:after="0" w:line="17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OpCo has entered into two site lease agreements with Westlake in connection with the IPO, and each has a term of 50 years. Pursuant to the site lease agreements, OpCo pays Westlake one dollar per site per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9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fair value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assets or liabilities accounted for at fair value on a recurring basis as of December 31, 2014 and December 31, 2015.</w:t>
      </w:r>
    </w:p>
    <w:p>
      <w:pPr>
        <w:spacing w:after="0" w:line="171"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OpCo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balance sheets for accounts receivable, net and accounts payable approximate their fair value due to the short maturities of these instruments. The carrying and fair values of OpCo's long-term debt at December 31, 2015 and December 31, 2014 are summarized in the table below. OpCo's long-term debt includes the August 2013 Promissory Notes and the OpCo Revolver. The fair value of debt is determined based on the present value of expected future cash flows using a discounted cash flow methodology. Because OpCo's valuation methodology used for long-term debt requires the use of significant unobservable inputs, the inputs used to measure the fair value of OpCo's long-term debt are classified as Level 3 within the fair value hierarchy. Inputs used to estimate the fair values of OpCo's long-term debt include the selection of an appropriate discount rate.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2015</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2014</w:t>
            </w:r>
          </w:p>
        </w:tc>
        <w:tc>
          <w:tcPr>
            <w:tcW w:w="920" w:type="dxa"/>
            <w:vAlign w:val="bottom"/>
            <w:tcBorders>
              <w:bottom w:val="single" w:sz="8" w:color="auto"/>
            </w:tcBorders>
          </w:tcPr>
          <w:p>
            <w:pPr>
              <w:spacing w:after="0"/>
              <w:rPr>
                <w:sz w:val="16"/>
                <w:szCs w:val="16"/>
                <w:color w:val="auto"/>
              </w:rPr>
            </w:pPr>
          </w:p>
        </w:tc>
      </w:tr>
      <w:tr>
        <w:trPr>
          <w:trHeight w:val="152"/>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Carrying</w:t>
            </w:r>
          </w:p>
        </w:tc>
        <w:tc>
          <w:tcPr>
            <w:tcW w:w="54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Carrying</w:t>
            </w:r>
          </w:p>
        </w:tc>
        <w:tc>
          <w:tcPr>
            <w:tcW w:w="560" w:type="dxa"/>
            <w:vAlign w:val="bottom"/>
          </w:tcPr>
          <w:p>
            <w:pPr>
              <w:spacing w:after="0"/>
              <w:rPr>
                <w:sz w:val="13"/>
                <w:szCs w:val="13"/>
                <w:color w:val="auto"/>
              </w:rPr>
            </w:pPr>
          </w:p>
        </w:tc>
        <w:tc>
          <w:tcPr>
            <w:tcW w:w="920" w:type="dxa"/>
            <w:vAlign w:val="bottom"/>
          </w:tcPr>
          <w:p>
            <w:pPr>
              <w:jc w:val="right"/>
              <w:ind w:right="519"/>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w w:val="90"/>
              </w:rPr>
              <w:t>Value</w:t>
            </w:r>
          </w:p>
        </w:tc>
      </w:tr>
      <w:tr>
        <w:trPr>
          <w:trHeight w:val="371"/>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2013 Promissory Notes</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31,775</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31,775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167,116</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167,116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OpCo Revolver</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41"/>
              <w:spacing w:after="0"/>
              <w:rPr>
                <w:sz w:val="20"/>
                <w:szCs w:val="20"/>
                <w:color w:val="auto"/>
              </w:rPr>
            </w:pPr>
            <w:r>
              <w:rPr>
                <w:rFonts w:ascii="Arial" w:cs="Arial" w:eastAsia="Arial" w:hAnsi="Arial"/>
                <w:sz w:val="18"/>
                <w:szCs w:val="18"/>
                <w:color w:val="auto"/>
              </w:rPr>
              <w:t>216,890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215,738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60,522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60,522</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OpCo is a limited partnership and is treated as a partnership for U.S. federal income tax purposes and, therefore, is not liable for entity-level federal income taxes. OpCo is, however, subject to state and local income taxes. The Predecessor's operating results were included in Westlake's consolidated U.S. federal and state income tax returns. Amounts presented in the combined financial statements prior to the IPO relate to income taxes that have been determined on a separate tax return basis and the Predecessor's contribution to Westlake Chemical Corporation's net operating losses and tax credits have been included in the Predecessor's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u w:val="single" w:color="auto"/>
          <w:color w:val="0000EE"/>
        </w:rPr>
        <w:t>Table of Contents</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WESTLAKE CHEMICAL OPCO LP</w:t>
      </w:r>
    </w:p>
    <w:p>
      <w:pPr>
        <w:spacing w:after="0" w:line="7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income tax disaggregated between OpCo and the Predecessor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i w:val="1"/>
                <w:iCs w:val="1"/>
                <w:color w:val="auto"/>
              </w:rPr>
              <w:t>OpCo</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i w:val="1"/>
                <w:iCs w:val="1"/>
                <w:color w:val="auto"/>
                <w:w w:val="90"/>
              </w:rPr>
              <w:t>Predecessor</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 December</w:t>
            </w:r>
          </w:p>
        </w:tc>
        <w:tc>
          <w:tcPr>
            <w:tcW w:w="15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Period from August 4,</w:t>
            </w:r>
          </w:p>
        </w:tc>
        <w:tc>
          <w:tcPr>
            <w:tcW w:w="158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5"/>
              </w:rPr>
              <w:t>Period from January</w:t>
            </w: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4"/>
              </w:rPr>
              <w:t>Year Ended December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2014 to December 31,</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1, 2014 to August 3,</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31, 2015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31, 2013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Federal</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9"/>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168,773</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233,014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21,207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30,211</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189,980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263,225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Federal</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6,890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32,675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8,343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37,054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198,323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300,279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reconciliation of income tax expense at the U.S. statutory rate to the income tax expense disaggregated between OpCo and the Predecessor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i w:val="1"/>
                <w:iCs w:val="1"/>
                <w:color w:val="auto"/>
              </w:rPr>
              <w:t>OpCo</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i w:val="1"/>
                <w:iCs w:val="1"/>
                <w:color w:val="auto"/>
                <w:w w:val="90"/>
              </w:rPr>
              <w:t>Predecessor</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 December</w:t>
            </w:r>
          </w:p>
        </w:tc>
        <w:tc>
          <w:tcPr>
            <w:tcW w:w="15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Period from August 4,</w:t>
            </w:r>
          </w:p>
        </w:tc>
        <w:tc>
          <w:tcPr>
            <w:tcW w:w="158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5"/>
              </w:rPr>
              <w:t>Period from January</w:t>
            </w: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4"/>
              </w:rPr>
              <w:t>Year Ended December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2014 to December 31,</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1, 2014 to August 3,</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31, 2015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31, 2013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income tax, at statutory rate</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125,997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195,880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296,389</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State income tax provision, net of federal income tax</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effect</w:t>
            </w:r>
          </w:p>
        </w:tc>
        <w:tc>
          <w:tcPr>
            <w:tcW w:w="30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14,729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22,484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OpCo's income not subject to entity-level federal income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(125,997)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Manufacturing deduction</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(18,270)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198,323</w:t>
            </w:r>
          </w:p>
        </w:tc>
        <w:tc>
          <w:tcPr>
            <w:tcW w:w="100" w:type="dxa"/>
            <w:vAlign w:val="bottom"/>
          </w:tcPr>
          <w:p>
            <w:pPr>
              <w:spacing w:after="0"/>
              <w:rPr>
                <w:sz w:val="20"/>
                <w:szCs w:val="20"/>
                <w:color w:val="auto"/>
              </w:rPr>
            </w:pPr>
          </w:p>
        </w:tc>
        <w:tc>
          <w:tcPr>
            <w:tcW w:w="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300,279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tax effects of the principal temporary differences between financial reporting and income tax reporting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Turnaround costs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(1,392)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r>
      <w:tr>
        <w:trPr>
          <w:trHeight w:val="20"/>
        </w:trPr>
        <w:tc>
          <w:tcPr>
            <w:tcW w:w="8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84"/>
        </w:trPr>
        <w:tc>
          <w:tcPr>
            <w:tcW w:w="8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classifications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Noncurrent deferred tax liability</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(1,392)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(1,848)</w:t>
            </w:r>
          </w:p>
        </w:tc>
      </w:tr>
      <w:tr>
        <w:trPr>
          <w:trHeight w:val="27"/>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(1,392)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r>
      <w:tr>
        <w:trPr>
          <w:trHeight w:val="20"/>
        </w:trPr>
        <w:tc>
          <w:tcPr>
            <w:tcW w:w="8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9100" w:firstLine="8"/>
        <w:spacing w:after="0" w:line="390" w:lineRule="auto"/>
        <w:tabs>
          <w:tab w:leader="none" w:pos="27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Liabilities</w:t>
      </w:r>
    </w:p>
    <w:p>
      <w:pPr>
        <w:ind w:right="220" w:firstLine="432"/>
        <w:spacing w:after="0" w:line="286" w:lineRule="auto"/>
        <w:rPr>
          <w:sz w:val="20"/>
          <w:szCs w:val="20"/>
          <w:color w:val="auto"/>
        </w:rPr>
      </w:pPr>
      <w:r>
        <w:rPr>
          <w:rFonts w:ascii="Arial" w:cs="Arial" w:eastAsia="Arial" w:hAnsi="Arial"/>
          <w:sz w:val="17"/>
          <w:szCs w:val="17"/>
          <w:color w:val="auto"/>
        </w:rPr>
        <w:t>Accrued liabilities were $21,873 and $11,225 at December 31, 2015 and 2014, respectively. Accruals related to capital expenditures and maintenance expenses, which are components of accrued liabilities, were $14,745 and $2,949 at December 31, 2015, respectively, and were $5,026 and $1,535 at December 31, 2014, respectively. No other component of accrued liabilities was more than five percent of total current liabilities.</w:t>
      </w:r>
    </w:p>
    <w:p>
      <w:pPr>
        <w:sectPr>
          <w:pgSz w:w="11900" w:h="16838" w:orient="portrait"/>
          <w:cols w:equalWidth="0" w:num="1">
            <w:col w:w="11420"/>
          </w:cols>
          <w:pgMar w:left="240" w:top="122"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2" w:right="239"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WESTLAKE CHEMICAL OPCO LP</w:t>
      </w:r>
    </w:p>
    <w:p>
      <w:pPr>
        <w:spacing w:after="0" w:line="7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Operating Activity</w:t>
      </w:r>
    </w:p>
    <w:p>
      <w:pPr>
        <w:spacing w:after="0" w:line="90"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The Predecessor settled $9,315 of its total interest expense incurred on long-term debt payable to Westlake as an addition to principal on debt outstanding in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90"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change in capital expenditure accrual reducing additions to property, plant and equipment was $14,552, $418 and $7,937 for the years ended December 31, 2015, 2014 and 2013,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Financing Activity</w:t>
      </w:r>
    </w:p>
    <w:p>
      <w:pPr>
        <w:spacing w:after="0" w:line="90"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Related party notes payable to Westlake of $238,600 were deemed settled through net investment in 2014. The non-cash settlement was recorded as an increase in Westlake's net investment in the Predecessor. No cash was transferred in connection with the deemed settlement of these notes.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Income Taxes</w:t>
      </w:r>
    </w:p>
    <w:p>
      <w:pPr>
        <w:spacing w:after="0" w:line="9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Interest paid by OpCo, net of interest capitalized was $8,244 and $1,366 for the years ended December 31, 2015 and 2014, respectively. Income tax paid by OpCo was $1,264 for the year ended December 31, 2015, of which $231 was paid directly to the tax authorities and $1,033 was paid to Westlake as reimbursement. No income tax payments were made in 2014 by OpCo. Westlake uses a centralized cash management system to finance its operations. As such, interest, net of interest capitalized, and income taxes were paid directly by Westlake and charged to the Predecessor through related party accounts receivable, net prior to the IPO. Related party accounts receivable, net were settled immediately through net investment and, therefore, the Predecessor did not pay cash for interest expense or income tax expense during the year ended December 31, 2013.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94"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OpCo is subject to environmental laws and regulations that can impose civil and criminal sanctions and that may require OpCo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OpCo's production sites have a history of industrial use, it is impossible to predict precisely what effect these legal requirements will have on OpCo. Westlake will indemnify OpCo for liabilities that occurred or existed prior to August 4, 2014.</w:t>
      </w:r>
    </w:p>
    <w:p>
      <w:pPr>
        <w:spacing w:after="0" w:line="138"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i w:val="1"/>
          <w:iCs w:val="1"/>
          <w:color w:val="auto"/>
        </w:rPr>
        <w:t>Contract Disputes with Goodrich and PolyOne</w:t>
      </w:r>
      <w:r>
        <w:rPr>
          <w:rFonts w:ascii="Arial" w:cs="Arial" w:eastAsia="Arial" w:hAnsi="Arial"/>
          <w:sz w:val="16"/>
          <w:szCs w:val="16"/>
          <w:color w:val="auto"/>
        </w:rPr>
        <w:t>. In connection with the 1990 and 1997 acquisitions of the Goodrich Corporation ("Goodrich") 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facility in Calvert City, Kentucky, which is a portion of the B.F. Goodrich superfund site, Goodrich agreed to indemnify Westlake for any liabilities related to preexisting contamination at the site. Westlake agreed to indemnify Goodrich for post-closing contamination caused by Westlake's operations. The soil and groundwater at the site had been extensively contaminated under Goodrich's operations. In 1993, Goodrich spun off the predecessor of PolyOne Corporation ("PolyOne"), and that predecessor assumed Goodrich's indemnification obligations relating to preexisting contamination.</w:t>
      </w:r>
    </w:p>
    <w:p>
      <w:pPr>
        <w:spacing w:after="0" w:line="10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2003, litigation arose among Westlake, Goodrich and PolyOne with respect to the allocation of the cost of remediating contamination at the site. The parties settled this litigation in December 2007, and the case was dismissed. In the settlement the parties agreed that, among other things: (1) PolyOne would pay 100% of the costs (with specified exceptions), net of recoveries or credits from third parties, incurred with respect to environmental issues at the Calvert City site from August 1, 2007 forward; (2) either Westlake or PolyOne might, from time to time in the future (but not more than once every five years), institute an arbitration proceeding to adjust that percentage; and (3) Westlake and PolyOne would negotiate a new environmental remediation utilities and Services and Secondment Agreement to cover Westlake's provision to or on behalf of PolyOne of certain environmental remediation services at the site. The current environmental remediation activities at the Calvert City site do not have a specified termination date but are expected to last for the foreseeable future. The costs incurred by Westlake that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WESTLAKE CHEMICAL OPCO LP</w:t>
      </w:r>
    </w:p>
    <w:p>
      <w:pPr>
        <w:spacing w:after="0" w:line="7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3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have been invoiced to PolyOne to provide the environmental remediation services were $2,210, $2,805 and $3,284 in 2015, 2014 and 2013, respectively. By letter dated March 16, 2010, PolyOne notified Westlake that it was initiating an arbitration proceeding under the settlement agreement. In this proceeding, PolyOne sought to readjust the percentage allocation of costs and to recover approximately $1,400 from Westlake in reimbursement of previously paid remediation costs. In December 2015, the arbitration panel dismissed the proceeding with prejudice. In a separate proceeding in Ohio state court, Westlake is seeking certain insurance documents from PolyOne.</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Westlake will indemnify OpCo for liabilities that occurred or existed prior to August 4, 2014.</w:t>
      </w:r>
    </w:p>
    <w:p>
      <w:pPr>
        <w:spacing w:after="0" w:line="17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i w:val="1"/>
          <w:iCs w:val="1"/>
          <w:color w:val="auto"/>
        </w:rPr>
        <w:t>State Administrative Proceedings</w:t>
      </w:r>
      <w:r>
        <w:rPr>
          <w:rFonts w:ascii="Arial" w:cs="Arial" w:eastAsia="Arial" w:hAnsi="Arial"/>
          <w:sz w:val="17"/>
          <w:szCs w:val="17"/>
          <w:color w:val="auto"/>
        </w:rPr>
        <w:t>. There are several administrative proceedings in Kentucky involving Westlake, Goodrich and PolyOne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manufacturing site in Calvert City, which includes OpCo's natural gas liquids processing facility in Calvert City. In 2003, the Kentucky Environmental and Public Protection Cabinet (the "Cabinet") re-issued Goodrich's RCRA permit which requires Goodrich to remediate contamination at the Calvert City manufacturing site. Both Goodrich and PolyOne challenged various terms of the permit in an attempt to shift Goodrich's clean-up obligations under the permit to Westlake. Westlake intervened in the proceedings. The Cabinet has suspended all corrective action under the RCRA permit in deference to a remedial investigation and feasibility study ("RIFS") being conducted, under the auspices of the U.S. Environmental Protection Agency ("EPA") pursuant to an Administrative Settlement Agreement ("AOC"), which became effective on December 9, 2009. See "Federal Administrative Proceedings" below. Periodic status conferences will be held to evaluate whether additional proceedings will be required.</w:t>
      </w:r>
    </w:p>
    <w:p>
      <w:pPr>
        <w:spacing w:after="0" w:line="301"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i w:val="1"/>
          <w:iCs w:val="1"/>
          <w:color w:val="auto"/>
        </w:rPr>
        <w:t>Federal Administrative Proceedings</w:t>
      </w:r>
      <w:r>
        <w:rPr>
          <w:rFonts w:ascii="Arial" w:cs="Arial" w:eastAsia="Arial" w:hAnsi="Arial"/>
          <w:sz w:val="16"/>
          <w:szCs w:val="16"/>
          <w:color w:val="auto"/>
        </w:rPr>
        <w:t>. In May 2009, the Cabinet sent a letter to the EPA requesting the EPA's assistance in addressing contamination at</w:t>
      </w:r>
      <w:r>
        <w:rPr>
          <w:rFonts w:ascii="Arial" w:cs="Arial" w:eastAsia="Arial" w:hAnsi="Arial"/>
          <w:sz w:val="16"/>
          <w:szCs w:val="16"/>
          <w:i w:val="1"/>
          <w:iCs w:val="1"/>
          <w:color w:val="auto"/>
        </w:rPr>
        <w:t xml:space="preserve"> </w:t>
      </w:r>
      <w:r>
        <w:rPr>
          <w:rFonts w:ascii="Arial" w:cs="Arial" w:eastAsia="Arial" w:hAnsi="Arial"/>
          <w:sz w:val="16"/>
          <w:szCs w:val="16"/>
          <w:color w:val="auto"/>
        </w:rPr>
        <w:t>the Calvert City site under CERCLA. In its response to the Cabinet, the EPA stated that it concurred with the Cabinet's request and would incorporate work previously conducted under the Cabinet's RCRA authority into the EPA's cleanup efforts under CERCLA. Since 1983, the EPA has been addressing contamination at an abandoned landfill adjacent to OpCo's plant which had been operated by Goodrich and which was being remediated pursuant to CERCLA. The EPA has directed Goodrich and PolyOne to conduct additional investigation activities at the landfill and at the Calvert City site. In June 2009, the EPA notified Westlake that Westlake may have potential liability under section 107(a) of CERCLA at its plant site. Liability under section 107(a) of CERCLA is strict and joint and several. The EPA also identified Goodrich and PolyOne, among others, as potentially responsible parties at the plant site. Westlake negotiated, in conjunction with the other potentially responsible parties, an AOC and an order to conduct an RIFS. Due to OpCo's ownership and current operation of the property, OpCo may be subject to additional requirements and liabilities under CERCLA.</w:t>
      </w:r>
    </w:p>
    <w:p>
      <w:pPr>
        <w:spacing w:after="0" w:line="113"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i w:val="1"/>
          <w:iCs w:val="1"/>
          <w:color w:val="auto"/>
        </w:rPr>
        <w:t>Potential Flare Modifications</w:t>
      </w:r>
      <w:r>
        <w:rPr>
          <w:rFonts w:ascii="Arial" w:cs="Arial" w:eastAsia="Arial" w:hAnsi="Arial"/>
          <w:sz w:val="17"/>
          <w:szCs w:val="17"/>
          <w:color w:val="auto"/>
        </w:rPr>
        <w:t>. For several years, the EPA has been conducting an enforcement initiative against petroleum refineries and petrochemical</w:t>
      </w:r>
      <w:r>
        <w:rPr>
          <w:rFonts w:ascii="Arial" w:cs="Arial" w:eastAsia="Arial" w:hAnsi="Arial"/>
          <w:sz w:val="17"/>
          <w:szCs w:val="17"/>
          <w:i w:val="1"/>
          <w:iCs w:val="1"/>
          <w:color w:val="auto"/>
        </w:rPr>
        <w:t xml:space="preserve"> </w:t>
      </w:r>
      <w:r>
        <w:rPr>
          <w:rFonts w:ascii="Arial" w:cs="Arial" w:eastAsia="Arial" w:hAnsi="Arial"/>
          <w:sz w:val="17"/>
          <w:szCs w:val="17"/>
          <w:color w:val="auto"/>
        </w:rPr>
        <w:t>plants with respect to emissions from flares. A number of companies have entered into consent agreements with the EPA requiring both modifications to reduce flare emissions and the installation of additional equipment to better track flare operations and emissions. On April 21, 2014, Westlake received a Clean Air Act Section 114 Information Request from the EPA which sought information regarding flares at the Calvert City and Lake Charles facilities. Westlake submitted information pursuant to such request, including information regarding three flares that OpCo owns. The EPA has informed Westlake that the information provided leads the EPA to believe that some of the flares are out of compliance with applicable standards. The EPA has demanded that Westlake conduct additional flare sampling and provide supplemental information. Westlake is currently in negotiations with the EPA regarding these demands, some of which are applicable to OpCo's flares. The EPA has indicated that it is seeking a consent decree with that would obligate Westlake to take corrective actions relating to the alleged noncompliance. Westlake has not agreed that any flares are out of compliance or that any corrective actions are warranted. Depending on the outcome of Westlake's negotiations with the EPA, additional controls on emissions from OpCo's flares may be required and these could result in increased capital and operating costs.</w:t>
      </w:r>
    </w:p>
    <w:p>
      <w:pPr>
        <w:spacing w:after="0" w:line="129" w:lineRule="exact"/>
        <w:rPr>
          <w:sz w:val="20"/>
          <w:szCs w:val="20"/>
          <w:color w:val="auto"/>
        </w:rPr>
      </w:pPr>
    </w:p>
    <w:p>
      <w:pPr>
        <w:ind w:right="80" w:firstLine="392"/>
        <w:spacing w:after="0" w:line="257" w:lineRule="auto"/>
        <w:rPr>
          <w:sz w:val="20"/>
          <w:szCs w:val="20"/>
          <w:color w:val="auto"/>
        </w:rPr>
      </w:pPr>
      <w:r>
        <w:rPr>
          <w:rFonts w:ascii="Arial" w:cs="Arial" w:eastAsia="Arial" w:hAnsi="Arial"/>
          <w:sz w:val="18"/>
          <w:szCs w:val="18"/>
          <w:i w:val="1"/>
          <w:iCs w:val="1"/>
          <w:color w:val="auto"/>
        </w:rPr>
        <w:t>Louisiana Notice of Violations</w:t>
      </w:r>
      <w:r>
        <w:rPr>
          <w:rFonts w:ascii="Arial" w:cs="Arial" w:eastAsia="Arial" w:hAnsi="Arial"/>
          <w:sz w:val="18"/>
          <w:szCs w:val="18"/>
          <w:color w:val="auto"/>
        </w:rPr>
        <w:t>. The Louisiana Department of Environmental Quality ("LDEQ") has issued notices of violations ("NOVs") regarding</w:t>
      </w:r>
      <w:r>
        <w:rPr>
          <w:rFonts w:ascii="Arial" w:cs="Arial" w:eastAsia="Arial" w:hAnsi="Arial"/>
          <w:sz w:val="18"/>
          <w:szCs w:val="18"/>
          <w:i w:val="1"/>
          <w:iCs w:val="1"/>
          <w:color w:val="auto"/>
        </w:rPr>
        <w:t xml:space="preserve"> </w:t>
      </w:r>
      <w:r>
        <w:rPr>
          <w:rFonts w:ascii="Arial" w:cs="Arial" w:eastAsia="Arial" w:hAnsi="Arial"/>
          <w:sz w:val="18"/>
          <w:szCs w:val="18"/>
          <w:color w:val="auto"/>
        </w:rPr>
        <w:t>OpCo's assets, and those of Westlake, for various air compliance issues. OpCo and Westlake are working with LDEQ to settle these claims, and a global settlement of all claims is being discussed. While settlement may result in a total civil penalty in excess of $100, such a settlement will likely cover assets owned by OpCo and Westlake, and to the extent it covers OpCo's assets, Westlake has reached a verbal agreement with the LDEQ to settle various NOVs in two separate settlements for a combined $192 in civil penalties.</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Westlake will indemnify OpCo for liabilities that occurred or existed prior to August 4, 2014.</w:t>
      </w:r>
    </w:p>
    <w:p>
      <w:pPr>
        <w:spacing w:after="0" w:line="171" w:lineRule="exact"/>
        <w:rPr>
          <w:sz w:val="20"/>
          <w:szCs w:val="20"/>
          <w:color w:val="auto"/>
        </w:rPr>
      </w:pPr>
    </w:p>
    <w:p>
      <w:pPr>
        <w:ind w:right="420" w:firstLine="405"/>
        <w:spacing w:after="0" w:line="342" w:lineRule="auto"/>
        <w:rPr>
          <w:sz w:val="20"/>
          <w:szCs w:val="20"/>
          <w:color w:val="auto"/>
        </w:rPr>
      </w:pPr>
      <w:r>
        <w:rPr>
          <w:rFonts w:ascii="Arial" w:cs="Arial" w:eastAsia="Arial" w:hAnsi="Arial"/>
          <w:sz w:val="16"/>
          <w:szCs w:val="16"/>
          <w:color w:val="auto"/>
        </w:rPr>
        <w:t>In addition to the matters described above, OpCo is involved in various legal proceedings incidental to the conduct of its business. OpCo does not believe that any of these legal proceedings will have a material adverse effect on its financial condition, results of operations or cash flows.</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121" w:right="319"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WESTLAKE CHEMICAL OPCO LP</w:t>
      </w:r>
    </w:p>
    <w:p>
      <w:pPr>
        <w:spacing w:after="0" w:line="7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OpCo is obligated under various long-term and short-term noncancelable operating leases, primarily related to rail car leases and land. Several of the leases provide for renewal terms. At December 31, 2015, future minimum lease commitments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2017</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1,056</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749</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994</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5,598</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Rental expense was approximately $3,125, $3,558 and $3,933 for the years ended December 31, 2015, 2014 and 2013, respectively.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OpCo has various purchase commitments for its capital projects and for materials, supplies and services incident to the ordinary conduct of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commitments are at prices not in excess of market prices.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Major Customer and Concentration of Credit Risk</w:t>
      </w:r>
    </w:p>
    <w:p>
      <w:pPr>
        <w:spacing w:after="0" w:line="94"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During the years ended December 31, 2015, 2014 and 2013, Westlake accounted for approximately 82.9%, 73.8% and 75.3%, respectively, of OpCo's and the Predecessor's net sales.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Subsequent events were evaluated through the date on which the financial statements were issued.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1)"/>
      <w:numFmt w:val="lowerLetter"/>
      <w:start w:val="2"/>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lvl w:ilvl="1">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1)"/>
      <w:numFmt w:val="decimal"/>
      <w:start w:val="2"/>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1)"/>
      <w:numFmt w:val="decimal"/>
      <w:start w:val="1"/>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1."/>
      <w:numFmt w:val="decimal"/>
      <w:start w:val="2"/>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1."/>
      <w:numFmt w:val="decimal"/>
      <w:start w:val="11"/>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1."/>
      <w:numFmt w:val="decimal"/>
      <w:start w:val="13"/>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1."/>
      <w:numFmt w:val="decimal"/>
      <w:start w:val="17"/>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1)"/>
      <w:numFmt w:val="decimal"/>
      <w:start w:val="1"/>
    </w:lvl>
  </w:abstractNum>
  <w:abstractNum w:abstractNumId="47">
    <w:nsid w:val="1CF10FD8"/>
    <w:multiLevelType w:val="hybridMultilevel"/>
    <w:lvl w:ilvl="0">
      <w:lvlJc w:val="left"/>
      <w:lvlText w:val="%1."/>
      <w:numFmt w:val="decimal"/>
      <w:start w:val="23"/>
    </w:lvl>
  </w:abstractNum>
  <w:abstractNum w:abstractNumId="48">
    <w:nsid w:val="180115BE"/>
    <w:multiLevelType w:val="hybridMultilevel"/>
    <w:lvl w:ilvl="0">
      <w:lvlJc w:val="left"/>
      <w:lvlText w:val="(%1)"/>
      <w:numFmt w:val="decimal"/>
      <w:start w:val="1"/>
    </w:lvl>
  </w:abstractNum>
  <w:abstractNum w:abstractNumId="49">
    <w:nsid w:val="235BA861"/>
    <w:multiLevelType w:val="hybridMultilevel"/>
    <w:lvl w:ilvl="0">
      <w:lvlJc w:val="left"/>
      <w:lvlText w:val="(%1)"/>
      <w:numFmt w:val="decimal"/>
      <w:start w:val="1"/>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1."/>
      <w:numFmt w:val="decimal"/>
      <w:start w:val="1"/>
    </w:lvl>
    <w:lvl w:ilvl="1">
      <w:lvlJc w:val="left"/>
      <w:lvlText w:val="%2)"/>
      <w:numFmt w:val="lowerLetter"/>
      <w:start w:val="1"/>
    </w:lvl>
  </w:abstractNum>
  <w:abstractNum w:abstractNumId="57">
    <w:nsid w:val="61574095"/>
    <w:multiLevelType w:val="hybridMultilevel"/>
    <w:lvl w:ilvl="0">
      <w:lvlJc w:val="left"/>
      <w:lvlText w:val="%1."/>
      <w:numFmt w:val="decimal"/>
      <w:start w:val="1"/>
    </w:lvl>
    <w:lvl w:ilvl="1">
      <w:lvlJc w:val="left"/>
      <w:lvlText w:val="%2)"/>
      <w:numFmt w:val="lowerLetter"/>
      <w:start w:val="1"/>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decimal"/>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1."/>
      <w:numFmt w:val="decimal"/>
      <w:start w:val="3"/>
    </w:lvl>
  </w:abstractNum>
  <w:abstractNum w:abstractNumId="64">
    <w:nsid w:val="25A70BF7"/>
    <w:multiLevelType w:val="hybridMultilevel"/>
    <w:lvl w:ilvl="0">
      <w:lvlJc w:val="left"/>
      <w:lvlText w:val="%1."/>
      <w:numFmt w:val="decimal"/>
      <w:start w:val="4"/>
    </w:lvl>
  </w:abstractNum>
  <w:abstractNum w:abstractNumId="65">
    <w:nsid w:val="1DBABF00"/>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2019-12-29T13:07:47Z</dcterms:created>
  <dcterms:modified xsi:type="dcterms:W3CDTF">2019-12-29T13:07:47Z</dcterms:modified>
</cp:coreProperties>
</file>