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Bender Mark Steven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POST OAK BLVD., STE.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WESTLAKE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05/12/2026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13,164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the Issuer's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12, 2023, the reporting person was granted 13,164 RSUs vesting on the third anniversay of the grant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otherwise issuable were withheld to satisfy tax obligations arising out of the vesting of the reporting persons RSUs.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M. Steven Bender by J Feng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POA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0417" TargetMode="External"/><Relationship Id="rId14" Type="http://schemas.openxmlformats.org/officeDocument/2006/relationships/hyperlink" Target="http://www.sec.gov/cgi-bin/browse-edgar?action=getcompany&amp;CIK=00012628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2026-05-14T11:35:36Z</dcterms:created>
  <dcterms:modified xsi:type="dcterms:W3CDTF">2026-05-14T11:35:36Z</dcterms:modified>
</cp:coreProperties>
</file>