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0"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Westlake Corporation</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04" w:type="dxa"/>
        <w:tblCellMar>
          <w:top w:w="0" w:type="dxa"/>
          <w:left w:w="0" w:type="dxa"/>
          <w:bottom w:w="0" w:type="dxa"/>
          <w:right w:w="0" w:type="dxa"/>
        </w:tblCellMar>
      </w:tblPr>
      <w:tr>
        <w:trPr>
          <w:trHeight w:val="214"/>
        </w:trPr>
        <w:tc>
          <w:tcPr>
            <w:tcW w:w="3720" w:type="dxa"/>
            <w:vAlign w:val="bottom"/>
          </w:tcPr>
          <w:p>
            <w:pPr>
              <w:jc w:val="center"/>
              <w:ind w:right="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4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001-32260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76-0346924</w:t>
            </w:r>
          </w:p>
        </w:tc>
      </w:tr>
      <w:tr>
        <w:trPr>
          <w:trHeight w:val="148"/>
        </w:trPr>
        <w:tc>
          <w:tcPr>
            <w:tcW w:w="3720" w:type="dxa"/>
            <w:vAlign w:val="bottom"/>
          </w:tcPr>
          <w:p>
            <w:pPr>
              <w:jc w:val="center"/>
              <w:ind w:right="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40" w:type="dxa"/>
            <w:vAlign w:val="bottom"/>
          </w:tcPr>
          <w:p>
            <w:pPr>
              <w:ind w:left="10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20" w:type="dxa"/>
            <w:vAlign w:val="bottom"/>
          </w:tcPr>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4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720" w:type="dxa"/>
            <w:vAlign w:val="bottom"/>
          </w:tcPr>
          <w:p>
            <w:pPr>
              <w:jc w:val="center"/>
              <w:ind w:right="899"/>
              <w:spacing w:after="0"/>
              <w:rPr>
                <w:sz w:val="20"/>
                <w:szCs w:val="20"/>
                <w:color w:val="auto"/>
              </w:rPr>
            </w:pPr>
            <w:r>
              <w:rPr>
                <w:rFonts w:ascii="Times New Roman" w:cs="Times New Roman" w:eastAsia="Times New Roman" w:hAnsi="Times New Roman"/>
                <w:sz w:val="18"/>
                <w:szCs w:val="18"/>
                <w:b w:val="1"/>
                <w:bCs w:val="1"/>
                <w:color w:val="auto"/>
                <w:w w:val="99"/>
              </w:rPr>
              <w:t>2801 Post Oak Boulevard, Suite 600</w:t>
            </w:r>
          </w:p>
        </w:tc>
        <w:tc>
          <w:tcPr>
            <w:tcW w:w="31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720" w:type="dxa"/>
            <w:vAlign w:val="bottom"/>
          </w:tcPr>
          <w:p>
            <w:pPr>
              <w:jc w:val="center"/>
              <w:ind w:right="899"/>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31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190"/>
        </w:trPr>
        <w:tc>
          <w:tcPr>
            <w:tcW w:w="3720" w:type="dxa"/>
            <w:vAlign w:val="bottom"/>
          </w:tcPr>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L. Benjamin Ederington</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(713) 960-9111</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Conflict Minerals Disclosure and Report</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Please refer to Rule 13p-1 of the Securities Exchange Act of 1934, as amended (the “1934 Act”), Form SD and the 1934 Act Release No. 34-67716 (together, the “Conflict Minerals Rule”) for definitions of the terms used in this form, unless otherwise defined herein.</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Pursuant to the Conflicts Minerals Rule, Westlake Corporation (“Westlake”) has conducted a good faith, reasonable country of origin inquiry of its suppliers to determine whether any Conflict Minerals that were necessary to the functionality or production of products manufactured for sale by Westlake during the year ended December 31, 2025 originated in the Covered Countries.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Westlake analyzed its product offerings to determine whether any include, or may include, a Conflict Mineral in the applicable product specifications. In doing so, each category of material was classified as high-, medium- or low-risk based on the potential for the materials to contain metals covered under the Conflict Mineral Rule as determined by a review of research and development, procurement, and supplier data. In addition, we excluded suppliers to whom we paid an aggregate of $30,000 or less in 2025. </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Westlake contacted all of its high-risk and most of its medium-risk product suppliers in its country-of-origin inquiry. This inquiry consisted of a letter sent to each such supplier requesting confirmation as to whether or not the materials sold to Westlake by such supplier contained Conflict Minerals from the Covered Countries. The Company received responses from the vast majority of surveyed suppliers. Based on the confirmations received from such suppliers, although it is possible that some of the tin, gold and tungsten derivatives provided during the year ended December 31, 2025 may have been sourced from the Covered Countries, all of the smelters from whom such suppliers sourced such derivatives are on the list of smelters certified by the Responsible Minerals Initiative.</w:t>
      </w:r>
    </w:p>
    <w:p>
      <w:pPr>
        <w:spacing w:after="0" w:line="187" w:lineRule="exact"/>
        <w:rPr>
          <w:sz w:val="20"/>
          <w:szCs w:val="20"/>
          <w:color w:val="auto"/>
        </w:rPr>
      </w:pPr>
    </w:p>
    <w:p>
      <w:pPr>
        <w:ind w:right="3620"/>
        <w:spacing w:after="0" w:line="282" w:lineRule="auto"/>
        <w:rPr>
          <w:sz w:val="20"/>
          <w:szCs w:val="20"/>
          <w:color w:val="auto"/>
        </w:rPr>
      </w:pPr>
      <w:r>
        <w:rPr>
          <w:rFonts w:ascii="Times New Roman" w:cs="Times New Roman" w:eastAsia="Times New Roman" w:hAnsi="Times New Roman"/>
          <w:sz w:val="18"/>
          <w:szCs w:val="18"/>
          <w:color w:val="auto"/>
        </w:rPr>
        <w:t>In accordance with Rule 13p-1, Westlake has made the foregoing disclosure available on its website at “http://www.westlake.com/investor-relations.”</w:t>
      </w:r>
    </w:p>
    <w:p>
      <w:pPr>
        <w:sectPr>
          <w:pgSz w:w="11900" w:h="16838" w:orient="portrait"/>
          <w:cols w:equalWidth="0" w:num="1">
            <w:col w:w="10980"/>
          </w:cols>
          <w:pgMar w:left="44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Westlake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71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 Benjamin Ederington</w:t>
            </w:r>
          </w:p>
        </w:tc>
        <w:tc>
          <w:tcPr>
            <w:tcW w:w="1880" w:type="dxa"/>
            <w:vAlign w:val="bottom"/>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18, 2026</w:t>
            </w:r>
          </w:p>
        </w:tc>
      </w:tr>
      <w:tr>
        <w:trPr>
          <w:trHeight w:val="205"/>
        </w:trPr>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By L. Benjamin Ederington</w:t>
            </w:r>
          </w:p>
        </w:tc>
        <w:tc>
          <w:tcPr>
            <w:tcW w:w="1880" w:type="dxa"/>
            <w:vAlign w:val="bottom"/>
          </w:tcPr>
          <w:p>
            <w:pPr>
              <w:spacing w:after="0"/>
              <w:rPr>
                <w:sz w:val="17"/>
                <w:szCs w:val="17"/>
                <w:color w:val="auto"/>
              </w:rPr>
            </w:pPr>
          </w:p>
        </w:tc>
        <w:tc>
          <w:tcPr>
            <w:tcW w:w="4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Legal and External Affairs</w:t>
            </w:r>
          </w:p>
        </w:tc>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2026-05-18T16:05:00Z</dcterms:created>
  <dcterms:modified xsi:type="dcterms:W3CDTF">2026-05-18T16:05:00Z</dcterms:modified>
</cp:coreProperties>
</file>