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September 30, 2026</w:t>
      </w:r>
    </w:p>
    <w:p>
      <w:pPr>
        <w:spacing w:after="0" w:line="2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001-32260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Westlake Corporation</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3640" w:type="dxa"/>
            <w:vAlign w:val="bottom"/>
            <w:gridSpan w:val="2"/>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900" w:type="dxa"/>
            <w:vAlign w:val="bottom"/>
          </w:tcPr>
          <w:p>
            <w:pPr>
              <w:jc w:val="center"/>
              <w:ind w:right="1195"/>
              <w:spacing w:after="0"/>
              <w:rPr>
                <w:sz w:val="20"/>
                <w:szCs w:val="20"/>
                <w:color w:val="auto"/>
              </w:rPr>
            </w:pPr>
            <w:r>
              <w:rPr>
                <w:rFonts w:ascii="Times New Roman" w:cs="Times New Roman" w:eastAsia="Times New Roman" w:hAnsi="Times New Roman"/>
                <w:sz w:val="18"/>
                <w:szCs w:val="18"/>
                <w:b w:val="1"/>
                <w:bCs w:val="1"/>
                <w:color w:val="auto"/>
                <w:w w:val="98"/>
              </w:rPr>
              <w:t>76-0346924</w:t>
            </w:r>
          </w:p>
        </w:tc>
      </w:tr>
      <w:tr>
        <w:trPr>
          <w:trHeight w:val="149"/>
        </w:trPr>
        <w:tc>
          <w:tcPr>
            <w:tcW w:w="140" w:type="dxa"/>
            <w:vAlign w:val="bottom"/>
          </w:tcPr>
          <w:p>
            <w:pPr>
              <w:spacing w:after="0"/>
              <w:rPr>
                <w:sz w:val="12"/>
                <w:szCs w:val="12"/>
                <w:color w:val="auto"/>
              </w:rPr>
            </w:pPr>
          </w:p>
        </w:tc>
        <w:tc>
          <w:tcPr>
            <w:tcW w:w="3640" w:type="dxa"/>
            <w:vAlign w:val="bottom"/>
            <w:gridSpan w:val="2"/>
          </w:tcPr>
          <w:p>
            <w:pPr>
              <w:jc w:val="center"/>
              <w:ind w:left="155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00" w:type="dxa"/>
            <w:vAlign w:val="bottom"/>
          </w:tcPr>
          <w:p>
            <w:pPr>
              <w:jc w:val="center"/>
              <w:ind w:right="121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40" w:type="dxa"/>
            <w:vAlign w:val="bottom"/>
          </w:tcPr>
          <w:p>
            <w:pPr>
              <w:spacing w:after="0"/>
              <w:rPr>
                <w:sz w:val="16"/>
                <w:szCs w:val="16"/>
                <w:color w:val="auto"/>
              </w:rPr>
            </w:pPr>
          </w:p>
        </w:tc>
        <w:tc>
          <w:tcPr>
            <w:tcW w:w="3640" w:type="dxa"/>
            <w:vAlign w:val="bottom"/>
            <w:gridSpan w:val="2"/>
          </w:tcPr>
          <w:p>
            <w:pPr>
              <w:jc w:val="center"/>
              <w:ind w:left="155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00" w:type="dxa"/>
            <w:vAlign w:val="bottom"/>
          </w:tcPr>
          <w:p>
            <w:pPr>
              <w:jc w:val="center"/>
              <w:ind w:right="119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60"/>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5444 Westheimer, Suite 101</w:t>
            </w:r>
          </w:p>
        </w:tc>
        <w:tc>
          <w:tcPr>
            <w:tcW w:w="3900" w:type="dxa"/>
            <w:vAlign w:val="bottom"/>
          </w:tcPr>
          <w:p>
            <w:pPr>
              <w:spacing w:after="0"/>
              <w:rPr>
                <w:sz w:val="24"/>
                <w:szCs w:val="24"/>
                <w:color w:val="auto"/>
              </w:rPr>
            </w:pPr>
          </w:p>
        </w:tc>
      </w:tr>
      <w:tr>
        <w:trPr>
          <w:trHeight w:val="214"/>
        </w:trPr>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3900" w:type="dxa"/>
            <w:vAlign w:val="bottom"/>
          </w:tcPr>
          <w:p>
            <w:pPr>
              <w:spacing w:after="0"/>
              <w:rPr>
                <w:sz w:val="18"/>
                <w:szCs w:val="18"/>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360" w:type="dxa"/>
            <w:vAlign w:val="bottom"/>
            <w:gridSpan w:val="3"/>
          </w:tcPr>
          <w:p>
            <w:pPr>
              <w:jc w:val="center"/>
              <w:ind w:right="359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jc w:val="center"/>
              <w:ind w:left="675"/>
              <w:spacing w:after="0"/>
              <w:rPr>
                <w:sz w:val="20"/>
                <w:szCs w:val="20"/>
                <w:color w:val="auto"/>
              </w:rPr>
            </w:pPr>
            <w:r>
              <w:rPr>
                <w:rFonts w:ascii="Times New Roman" w:cs="Times New Roman" w:eastAsia="Times New Roman" w:hAnsi="Times New Roman"/>
                <w:sz w:val="18"/>
                <w:szCs w:val="18"/>
                <w:b w:val="1"/>
                <w:bCs w:val="1"/>
                <w:color w:val="auto"/>
                <w:w w:val="97"/>
              </w:rPr>
              <w:t>(713) 960-9111</w:t>
            </w:r>
          </w:p>
        </w:tc>
        <w:tc>
          <w:tcPr>
            <w:tcW w:w="5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00" w:type="dxa"/>
            <w:vAlign w:val="bottom"/>
          </w:tcPr>
          <w:p>
            <w:pPr>
              <w:spacing w:after="0"/>
              <w:rPr>
                <w:sz w:val="16"/>
                <w:szCs w:val="16"/>
                <w:color w:val="auto"/>
              </w:rPr>
            </w:pPr>
          </w:p>
        </w:tc>
      </w:tr>
      <w:tr>
        <w:trPr>
          <w:trHeight w:val="366"/>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3900" w:type="dxa"/>
            <w:vAlign w:val="bottom"/>
          </w:tcPr>
          <w:p>
            <w:pPr>
              <w:spacing w:after="0"/>
              <w:rPr>
                <w:sz w:val="24"/>
                <w:szCs w:val="24"/>
                <w:color w:val="auto"/>
              </w:rPr>
            </w:pPr>
          </w:p>
        </w:tc>
      </w:tr>
      <w:tr>
        <w:trPr>
          <w:trHeight w:val="214"/>
        </w:trPr>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3900" w:type="dxa"/>
            <w:vAlign w:val="bottom"/>
          </w:tcPr>
          <w:p>
            <w:pPr>
              <w:spacing w:after="0"/>
              <w:rPr>
                <w:sz w:val="18"/>
                <w:szCs w:val="18"/>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(Former address of principal executive offices)</w:t>
            </w:r>
          </w:p>
        </w:tc>
        <w:tc>
          <w:tcPr>
            <w:tcW w:w="39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00" w:type="dxa"/>
            <w:vAlign w:val="bottom"/>
          </w:tcPr>
          <w:p>
            <w:pPr>
              <w:spacing w:after="0"/>
              <w:rPr>
                <w:sz w:val="24"/>
                <w:szCs w:val="24"/>
                <w:color w:val="auto"/>
              </w:rPr>
            </w:pPr>
          </w:p>
        </w:tc>
      </w:tr>
      <w:tr>
        <w:trPr>
          <w:trHeight w:val="108"/>
        </w:trPr>
        <w:tc>
          <w:tcPr>
            <w:tcW w:w="140" w:type="dxa"/>
            <w:vAlign w:val="bottom"/>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75"/>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14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94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3900" w:type="dxa"/>
            <w:vAlign w:val="bottom"/>
            <w:tcBorders>
              <w:right w:val="single" w:sz="8" w:color="auto"/>
            </w:tcBorders>
          </w:tcPr>
          <w:p>
            <w:pPr>
              <w:jc w:val="center"/>
              <w:ind w:right="455"/>
              <w:spacing w:after="0" w:line="177" w:lineRule="exact"/>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4"/>
        </w:trPr>
        <w:tc>
          <w:tcPr>
            <w:tcW w:w="140" w:type="dxa"/>
            <w:vAlign w:val="bottom"/>
            <w:tcBorders>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0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color w:val="auto"/>
                <w:w w:val="97"/>
              </w:rPr>
              <w:t>WLK</w:t>
            </w:r>
          </w:p>
        </w:tc>
        <w:tc>
          <w:tcPr>
            <w:tcW w:w="520" w:type="dxa"/>
            <w:vAlign w:val="bottom"/>
            <w:tcBorders>
              <w:bottom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jc w:val="center"/>
              <w:ind w:right="455"/>
              <w:spacing w:after="0"/>
              <w:rPr>
                <w:sz w:val="20"/>
                <w:szCs w:val="20"/>
                <w:color w:val="auto"/>
              </w:rPr>
            </w:pPr>
            <w:r>
              <w:rPr>
                <w:rFonts w:ascii="Times New Roman" w:cs="Times New Roman" w:eastAsia="Times New Roman" w:hAnsi="Times New Roman"/>
                <w:sz w:val="18"/>
                <w:szCs w:val="18"/>
                <w:color w:val="auto"/>
                <w:w w:val="97"/>
              </w:rPr>
              <w:t>NYSE Texas</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1.625% Senior Notes due 2029</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color w:val="auto"/>
              </w:rPr>
              <w:t>WLK29</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5"/>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14"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4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152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number of shares outstanding of the registrant's sole class of common stock as of October 28, 2026 was 127,886,945.</w:t>
      </w:r>
    </w:p>
    <w:p>
      <w:pPr>
        <w:sectPr>
          <w:pgSz w:w="11900" w:h="16838" w:orient="portrait"/>
          <w:cols w:equalWidth="0" w:num="1">
            <w:col w:w="11200"/>
          </w:cols>
          <w:pgMar w:left="320" w:top="1037" w:right="379" w:bottom="0" w:gutter="0" w:footer="0" w:header="0"/>
        </w:sectPr>
      </w:pPr>
    </w:p>
    <w:bookmarkStart w:id="1" w:name="page2"/>
    <w:bookmarkEnd w:id="1"/>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496570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20" w:type="dxa"/>
            <w:vAlign w:val="bottom"/>
            <w:vMerge w:val="restart"/>
          </w:tcPr>
          <w:p>
            <w:pPr>
              <w:spacing w:after="0"/>
              <w:rPr>
                <w:sz w:val="2"/>
                <w:szCs w:val="2"/>
                <w:color w:val="auto"/>
              </w:rPr>
            </w:pPr>
          </w:p>
        </w:tc>
        <w:tc>
          <w:tcPr>
            <w:tcW w:w="982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98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9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4"/>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1A)</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4"/>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6"/>
        </w:trPr>
        <w:tc>
          <w:tcPr>
            <w:tcW w:w="8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(in millions of dollars, except</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par values and share amounts)</w:t>
            </w:r>
          </w:p>
        </w:tc>
      </w:tr>
      <w:tr>
        <w:trPr>
          <w:trHeight w:val="235"/>
        </w:trPr>
        <w:tc>
          <w:tcPr>
            <w:tcW w:w="826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8260" w:type="dxa"/>
            <w:vAlign w:val="bottom"/>
            <w:shd w:val="clear" w:color="auto" w:fill="CCEEFF"/>
          </w:tcPr>
          <w:p>
            <w:pPr>
              <w:ind w:left="29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10,666</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 shares issued and outstanding</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134,651,380 and 134,651,380 shares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issued at September 30, 2026 and December 31, 2025, respectively</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held in treasury, at cost; 6,794,579 and 6,740,232 shares at September 30, 2026 and</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Corporation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19,961</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78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 and share amounts)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Westlake Corporation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Earnings (loss) per common share attributable to Westlake</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127,830,227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128,251,427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127,953,601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128,265,950</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127,962,530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128,251,427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128,270,824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128,265,950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5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other post-retirement benefits liability</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6"/>
        </w:trPr>
        <w:tc>
          <w:tcPr>
            <w:tcW w:w="52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Pension and other post-retirement benefits reserves</w:t>
            </w: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adjustment</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6"/>
        </w:trPr>
        <w:tc>
          <w:tcPr>
            <w:tcW w:w="524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Income tax provision on pension and other post-retirement</w:t>
            </w: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52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benefits liability</w:t>
            </w:r>
          </w:p>
        </w:tc>
        <w:tc>
          <w:tcPr>
            <w:tcW w:w="10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76"/>
        </w:trPr>
        <w:tc>
          <w:tcPr>
            <w:tcW w:w="52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Income tax benefit (provision) on foreign currency</w:t>
            </w: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translation</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Unrealized holding gain (loss) on investments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 provision on available-for-sale investments</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0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155"/>
        </w:trPr>
        <w:tc>
          <w:tcPr>
            <w:tcW w:w="524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Comprehensive income attributable to noncontrolling interests, net</w:t>
            </w: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6"/>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of tax of $0 and $1 for the three months ended September 30,</w:t>
            </w: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5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2026 and 2025, respectively; and net of tax of $2 and $2 for the</w:t>
            </w: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 2026 and 2025</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respectively</w:t>
            </w:r>
          </w:p>
        </w:tc>
        <w:tc>
          <w:tcPr>
            <w:tcW w:w="10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Westlake Corporation</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20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rPr>
                <w:sz w:val="16"/>
                <w:szCs w:val="16"/>
                <w:color w:val="auto"/>
              </w:rPr>
            </w:pPr>
          </w:p>
        </w:tc>
        <w:tc>
          <w:tcPr>
            <w:tcW w:w="2060" w:type="dxa"/>
            <w:vAlign w:val="bottom"/>
            <w:gridSpan w:val="5"/>
            <w:vMerge w:val="continue"/>
          </w:tcPr>
          <w:p>
            <w:pPr>
              <w:spacing w:after="0"/>
              <w:rPr>
                <w:sz w:val="16"/>
                <w:szCs w:val="16"/>
                <w:color w:val="auto"/>
              </w:rPr>
            </w:pP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9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 except share amounts)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Balances at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6,740,232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(201,019)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56"/>
        </w:trPr>
        <w:tc>
          <w:tcPr>
            <w:tcW w:w="20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March 31,</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6,540,613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55"/>
        </w:trPr>
        <w:tc>
          <w:tcPr>
            <w:tcW w:w="20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June 30,</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6,854,931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0" w:type="dxa"/>
            <w:vAlign w:val="bottom"/>
          </w:tcPr>
          <w:p>
            <w:pPr>
              <w:spacing w:after="0"/>
              <w:rPr>
                <w:sz w:val="1"/>
                <w:szCs w:val="1"/>
                <w:color w:val="auto"/>
              </w:rPr>
            </w:pPr>
          </w:p>
        </w:tc>
      </w:tr>
      <w:tr>
        <w:trPr>
          <w:trHeight w:val="905"/>
        </w:trPr>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180" w:right="340" w:hanging="161"/>
        <w:spacing w:after="0" w:line="253" w:lineRule="auto"/>
        <w:rPr>
          <w:sz w:val="20"/>
          <w:szCs w:val="20"/>
          <w:color w:val="auto"/>
        </w:rPr>
      </w:pPr>
      <w:r>
        <w:rPr>
          <w:rFonts w:ascii="Times New Roman" w:cs="Times New Roman" w:eastAsia="Times New Roman" w:hAnsi="Times New Roman"/>
          <w:sz w:val="17"/>
          <w:szCs w:val="17"/>
          <w:color w:val="auto"/>
        </w:rPr>
        <w:t>Other comprehensive income</w:t>
      </w:r>
    </w:p>
    <w:p>
      <w:pPr>
        <w:spacing w:after="0" w:line="2" w:lineRule="exact"/>
        <w:rPr>
          <w:sz w:val="20"/>
          <w:szCs w:val="20"/>
          <w:color w:val="auto"/>
        </w:rPr>
      </w:pPr>
    </w:p>
    <w:p>
      <w:pPr>
        <w:jc w:val="right"/>
        <w:ind w:left="20" w:right="260"/>
        <w:spacing w:after="0" w:line="237" w:lineRule="auto"/>
        <w:rPr>
          <w:sz w:val="20"/>
          <w:szCs w:val="20"/>
          <w:color w:val="auto"/>
        </w:rPr>
      </w:pPr>
      <w:r>
        <w:rPr>
          <w:rFonts w:ascii="Times New Roman" w:cs="Times New Roman" w:eastAsia="Times New Roman" w:hAnsi="Times New Roman"/>
          <w:sz w:val="18"/>
          <w:szCs w:val="18"/>
          <w:color w:val="auto"/>
        </w:rPr>
        <w:t>Shares issued—stock-based compensation</w:t>
      </w:r>
    </w:p>
    <w:p>
      <w:pPr>
        <w:spacing w:after="0" w:line="10" w:lineRule="exact"/>
        <w:rPr>
          <w:sz w:val="20"/>
          <w:szCs w:val="20"/>
          <w:color w:val="auto"/>
        </w:rPr>
      </w:pPr>
    </w:p>
    <w:p>
      <w:pPr>
        <w:ind w:left="180" w:right="720" w:hanging="161"/>
        <w:spacing w:after="0" w:line="237" w:lineRule="auto"/>
        <w:rPr>
          <w:sz w:val="20"/>
          <w:szCs w:val="20"/>
          <w:color w:val="auto"/>
        </w:rPr>
      </w:pPr>
      <w:r>
        <w:rPr>
          <w:rFonts w:ascii="Times New Roman" w:cs="Times New Roman" w:eastAsia="Times New Roman" w:hAnsi="Times New Roman"/>
          <w:sz w:val="18"/>
          <w:szCs w:val="18"/>
          <w:color w:val="auto"/>
        </w:rPr>
        <w:t>Stock-based compensation</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declared</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Distributions to noncontrolling interests</w:t>
      </w:r>
    </w:p>
    <w:p>
      <w:pPr>
        <w:spacing w:after="0" w:line="6" w:lineRule="exact"/>
        <w:rPr>
          <w:sz w:val="20"/>
          <w:szCs w:val="20"/>
          <w:color w:val="auto"/>
        </w:rPr>
      </w:pPr>
    </w:p>
    <w:p>
      <w:pPr>
        <w:ind w:left="180" w:right="12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Balances at September 30, 2026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60" w:type="dxa"/>
            <w:vAlign w:val="bottom"/>
            <w:gridSpan w:val="5"/>
            <w:vMerge w:val="continue"/>
          </w:tcPr>
          <w:p>
            <w:pPr>
              <w:spacing w:after="0"/>
              <w:rPr>
                <w:sz w:val="16"/>
                <w:szCs w:val="16"/>
                <w:color w:val="auto"/>
              </w:rPr>
            </w:pP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140" w:type="dxa"/>
            <w:vAlign w:val="bottom"/>
            <w:gridSpan w:val="5"/>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Noncontrolling</w:t>
            </w:r>
          </w:p>
        </w:tc>
        <w:tc>
          <w:tcPr>
            <w:tcW w:w="20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 of dollars, except share amounts)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72"/>
        </w:trPr>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6,794,579</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80" w:type="dxa"/>
            <w:vAlign w:val="bottom"/>
          </w:tcPr>
          <w:p>
            <w:pPr>
              <w:spacing w:after="0"/>
              <w:rPr>
                <w:sz w:val="24"/>
                <w:szCs w:val="24"/>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$(114)</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-1490980</wp:posOffset>
            </wp:positionV>
            <wp:extent cx="713232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-959485</wp:posOffset>
            </wp:positionV>
            <wp:extent cx="713232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-548005</wp:posOffset>
            </wp:positionV>
            <wp:extent cx="713232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00" w:space="140"/>
            <w:col w:w="920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20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rPr>
                <w:sz w:val="16"/>
                <w:szCs w:val="16"/>
                <w:color w:val="auto"/>
              </w:rPr>
            </w:pPr>
          </w:p>
        </w:tc>
        <w:tc>
          <w:tcPr>
            <w:tcW w:w="2060" w:type="dxa"/>
            <w:vAlign w:val="bottom"/>
            <w:gridSpan w:val="5"/>
            <w:vMerge w:val="continue"/>
          </w:tcPr>
          <w:p>
            <w:pPr>
              <w:spacing w:after="0"/>
              <w:rPr>
                <w:sz w:val="16"/>
                <w:szCs w:val="16"/>
                <w:color w:val="auto"/>
              </w:rPr>
            </w:pP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9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 except share amounts)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Balances at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6,424,366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(290,126)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56"/>
        </w:trPr>
        <w:tc>
          <w:tcPr>
            <w:tcW w:w="20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March 31,</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6,414,011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55"/>
        </w:trPr>
        <w:tc>
          <w:tcPr>
            <w:tcW w:w="20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June 30,</w:t>
            </w: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6,412,294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0" w:type="dxa"/>
            <w:vAlign w:val="bottom"/>
          </w:tcPr>
          <w:p>
            <w:pPr>
              <w:spacing w:after="0"/>
              <w:rPr>
                <w:sz w:val="1"/>
                <w:szCs w:val="1"/>
                <w:color w:val="auto"/>
              </w:rPr>
            </w:pPr>
          </w:p>
        </w:tc>
      </w:tr>
      <w:tr>
        <w:trPr>
          <w:trHeight w:val="905"/>
        </w:trPr>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20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rPr>
                <w:sz w:val="16"/>
                <w:szCs w:val="16"/>
                <w:color w:val="auto"/>
              </w:rPr>
            </w:pPr>
          </w:p>
        </w:tc>
        <w:tc>
          <w:tcPr>
            <w:tcW w:w="2060" w:type="dxa"/>
            <w:vAlign w:val="bottom"/>
            <w:gridSpan w:val="5"/>
            <w:vMerge w:val="continue"/>
          </w:tcPr>
          <w:p>
            <w:pPr>
              <w:spacing w:after="0"/>
              <w:rPr>
                <w:sz w:val="16"/>
                <w:szCs w:val="16"/>
                <w:color w:val="auto"/>
              </w:rPr>
            </w:pP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 except share amounts)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9"/>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56"/>
        </w:trPr>
        <w:tc>
          <w:tcPr>
            <w:tcW w:w="20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September</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6,395,504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9"/>
              </w:rPr>
              <w:t>(77)</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0" w:type="dxa"/>
            <w:vAlign w:val="bottom"/>
          </w:tcPr>
          <w:p>
            <w:pPr>
              <w:spacing w:after="0"/>
              <w:rPr>
                <w:sz w:val="1"/>
                <w:szCs w:val="1"/>
                <w:color w:val="auto"/>
              </w:rPr>
            </w:pPr>
          </w:p>
        </w:tc>
      </w:tr>
      <w:tr>
        <w:trPr>
          <w:trHeight w:val="236"/>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r>
      <w:tr>
        <w:trPr>
          <w:trHeight w:val="219"/>
        </w:trPr>
        <w:tc>
          <w:tcPr>
            <w:tcW w:w="8260" w:type="dxa"/>
            <w:vAlign w:val="bottom"/>
          </w:tcPr>
          <w:p>
            <w:pPr>
              <w:spacing w:after="0"/>
              <w:rPr>
                <w:sz w:val="19"/>
                <w:szCs w:val="19"/>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520" w:type="dxa"/>
            <w:vAlign w:val="bottom"/>
          </w:tcPr>
          <w:p>
            <w:pPr>
              <w:spacing w:after="0"/>
              <w:rPr>
                <w:sz w:val="19"/>
                <w:szCs w:val="19"/>
                <w:color w:val="auto"/>
              </w:rPr>
            </w:pPr>
          </w:p>
        </w:tc>
      </w:tr>
      <w:tr>
        <w:trPr>
          <w:trHeight w:val="23"/>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and write-off of assets, net, and accelerated 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business acquisitions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investments in unconsolidated subsidiaries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settlement of foreign currency swap agreements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settlement of foreign currency swap agreements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and paydown of available-for-sale securities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available-for-sale securities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 for treasury</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4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Westlake Corporation (the "Company") operates as an integrated global manufacturer and marketer of housing and infrastructure products and performance and essential materials. These products include some of the most widely used materials in the world, which are fundamental to many diverse consumer and industrial markets, including residential construction, flexible and rigid packaging, automotive products, healthcare products, materials used in turbines to generate wind energy, water treatment, coatings as well as other durable and non-durable goods. The Company's customers range from large chemical processors and plastics fabricators to small construction contractors, municipalities and supply warehouses throughout North America, Europe and Asia.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Company, included in the annual report on Form 10-K for the fiscal year ended December 31, 2025 (the "2025 Form 10-K"), filed with the SEC on February 26, 2026. These consolidated financial statements have been prepared in conformity with the accounting principles and practices as disclosed in the notes to the consolidated financial statements of the Company for the fiscal year ended December 31, 2025.</w:t>
      </w:r>
    </w:p>
    <w:p>
      <w:pPr>
        <w:spacing w:after="0" w:line="13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the accompanying unaudited consolidated interim financial statements reflect all adjustments (consisting only of normal recurring adjustments, except as disclosed in Note 2 "Acquisitions" and facilities closure charges in Note 13 "Supplemental Information—Restructuring, Transaction and Integration-Related Costs") that are necessary for a fair statement of the Company's financial position as of September 30, 2026, its results of operations for the three and nine months ended September 30, 2026 and 2025, and the changes in its cash position for the nine months ended September 30, 2026 and 2025.</w:t>
      </w:r>
    </w:p>
    <w:p>
      <w:pPr>
        <w:spacing w:after="0" w:line="129"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2026 or any other interim period. The preparation of consolidated financial statements in conformity with U.S. GAAP requires management to make estimates and assumptions that affect the reported amounts of assets, liabilities, revenues and expenses and the disclosure of contingent assets and liabilities. Actual results could differ from those estimates.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Credits and Environmental Credit Obligations (ASU 2026-02)</w:t>
      </w:r>
    </w:p>
    <w:p>
      <w:pPr>
        <w:spacing w:after="0" w:line="10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May 2026, the Financial Accounting Standards Board ("FASB") issued an accounting standards update to establish authoritative guidance on recognition, measurement, presentation and disclosure of environmental credits and environmental credit obligations. The amendments define environmental credits as assets only if it is probable they will be used to settle an environmental credit obligation, transferred in an exchange transaction, or used in a nonreciprocal transfer. The amendments are effective for annual periods beginning after December 15, 2027 and interim reporting periods within those annual reporting periods, for public business entities, with early adoption permitted. The transition option is modified retrospective. The Company is in the process of evaluating the impact of this standard on the Company's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Government Grants Received by Business Entities (ASU 2025-10)</w:t>
      </w:r>
    </w:p>
    <w:p>
      <w:pPr>
        <w:spacing w:after="0" w:line="9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an accounting standards update to establish authoritative guidance on recognition, measurement, presentation, and disclosure of government grants received by business entities. The amendments define government grants as transfers of monetary or tangible non-monetary assets from a government to a business entity (excluding exchange transactions) and leverage principles from IAS 20 while tailoring certain U.S. GAAP requirements. The amendments are effective for annual periods beginning after December 15, 2028, and interim reporting periods within those annual reporting periods, for public business entities, with early adoption permitted. The transition options include modified prospective, modified retrospective, or full retrospective. The Company is in the process of evaluating the impact of this standard on the Company's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 Accounting Improvements (ASU 2025-09)</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November 2025, the FASB issued an accounting standards update to clarify and improve certain aspects of hedge accounting guidance in ASC</w:t>
      </w:r>
    </w:p>
    <w:p>
      <w:pPr>
        <w:spacing w:after="0" w:line="27"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address five specific areas: (1) similar risk assessment for cash flow hedges, (2) hedging interest payments on choose-your-rate debt,</w:t>
      </w:r>
    </w:p>
    <w:p>
      <w:pPr>
        <w:spacing w:after="0" w:line="9" w:lineRule="exact"/>
        <w:rPr>
          <w:rFonts w:ascii="Times New Roman" w:cs="Times New Roman" w:eastAsia="Times New Roman" w:hAnsi="Times New Roman"/>
          <w:sz w:val="18"/>
          <w:szCs w:val="18"/>
          <w:color w:val="auto"/>
        </w:rPr>
      </w:pPr>
    </w:p>
    <w:p>
      <w:pPr>
        <w:ind w:right="2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cash flow hedges of nonfinancial forecasted transactions, (4) net written options as hedging instruments, and (5) foreign currency-denominated debt designated as both a hedging instrument and hedged item. The amendments more closely align hedge accounting with the economics of an entity's risk management activities. The amendments are effective for annual periods beginning after December 15, 2026, and interim reporting periods within those annual reporting periods, for public business entities with early adoption permitted. Entities should apply the new guidance prospectively. The Company evaluated the impact of this standard on its consolidated financial statements and does not expect adoption to materially affect the Company's financial position, results of operations, or cash flows. The Company will continue to assess the impact of this standard through the remainder of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Targeted Improvements to the Accounting for Internal-Use Software (ASU 2025-06)</w:t>
      </w:r>
    </w:p>
    <w:p>
      <w:pPr>
        <w:spacing w:after="0" w:line="10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an accounting standards update to modernize the accounting for software costs to increase the operability of the recognition guidance considering different methods of software development and clarify the criteria for capitalizing software costs. The amendments are effective for annual reporting periods beginning after December 15, 2027 and interim reporting periods within those annual reporting periods, with early adoption permitted as of the beginning of an annual reporting period. Entities should apply the new guidance either retrospectively, prospectively, or via a modified prospective transition method. The Company is in the process of evaluating the impact of this standard on the Company's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2024-03)</w:t>
      </w:r>
    </w:p>
    <w:p>
      <w:pPr>
        <w:spacing w:after="0" w:line="9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an accounting standards update requiring public entities to disclose, on an annual and interim basis, detailed information about the types of expenses in relevant expense captions presented on the face of the income statement, including amounts for inventory purchases, employee compensation, depreciation and amortization of intangible assets and a qualitative description for remaining amounts not separately disaggregated. Additionally, the update requires disclosure of total selling expenses, and in annual periods, an entity's definition of selling expenses. The amendments in this update are effective for annual reporting periods beginning after December 15, 2026, and interim periods beginning after December 15, 2027 and are to be applied either prospectively or retrospectively. The Company is currently evaluating the impact of the update on the disclosures in the Company's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 (ASU 2025-05)</w:t>
      </w:r>
    </w:p>
    <w:p>
      <w:pPr>
        <w:spacing w:after="0" w:line="10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July 2025, the FASB issued an accounting standards update to add a practical expedient in developing reasonable and supportable forecasts as part of estimating expected credit losses. All entities may elect a practical expedient that assumes the current conditions as of the balance sheet date do not change for the remaining life of the asset. The amendments in this update are effective for annual reporting periods beginning after December 15, 2025 and interim reporting periods within those annual reporting periods, with early adoption permitted. Entities should apply the new guidance prospectively. The Company adopted the standard electing a practical expedient effective January 1, 2026, and the adoption of this accounting standard did not have a material impact on its consolidated statements of financial position, results of operations, or cash flows, or on related financial statement disclosures.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90" w:lineRule="exact"/>
        <w:rPr>
          <w:sz w:val="20"/>
          <w:szCs w:val="20"/>
          <w:color w:val="auto"/>
        </w:rPr>
      </w:pPr>
    </w:p>
    <w:p>
      <w:pPr>
        <w:ind w:right="180" w:firstLine="40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Rolled Steel Metal Panel Business - </w:t>
      </w:r>
      <w:r>
        <w:rPr>
          <w:rFonts w:ascii="Times New Roman" w:cs="Times New Roman" w:eastAsia="Times New Roman" w:hAnsi="Times New Roman"/>
          <w:sz w:val="18"/>
          <w:szCs w:val="18"/>
          <w:color w:val="auto"/>
        </w:rPr>
        <w:t>On October 1, 2026, the Company's subsidiary, Westlake Royal Roofing LLC, completed the acquisition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rolled steel metal panel business for a preliminary purchase price of approximately $36, subject to various adjustments. The assets acquired and liabilities assumed and the results of operations of the acquired business will be included in the Housing and Infrastructure Products segment from the acquisition date. Due to the timing of the acquisition, the opening balance for the acquisition will be accounted for in our Annual Report on Form 10-K for the fiscal year ending December 31, 2026.</w:t>
      </w:r>
    </w:p>
    <w:p>
      <w:pPr>
        <w:spacing w:after="0" w:line="58" w:lineRule="exact"/>
        <w:rPr>
          <w:sz w:val="20"/>
          <w:szCs w:val="20"/>
          <w:color w:val="auto"/>
        </w:rPr>
      </w:pPr>
    </w:p>
    <w:p>
      <w:pPr>
        <w:ind w:right="100" w:firstLine="40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PVC and VCM Production Site in Wilhelmshaven, Germany - </w:t>
      </w:r>
      <w:r>
        <w:rPr>
          <w:rFonts w:ascii="Times New Roman" w:cs="Times New Roman" w:eastAsia="Times New Roman" w:hAnsi="Times New Roman"/>
          <w:sz w:val="18"/>
          <w:szCs w:val="18"/>
          <w:color w:val="auto"/>
        </w:rPr>
        <w:t>On June 15, 2026, the Company's German subsidiary, Westlake Vinnolit GmbH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 KG, completed the acquisition of a polyvinyl chloride ("PVC") and vinyl chloride monomer ("VCM") production site located in Wilhelmshaven, Germany (the "Wilhelmshaven plant") for a preliminary purchase price of approximately $109, subject to various adjustments. The acquisition of the Wilhelmshaven plant is expected to expand the Company's global chlorovinyls manufacturing footprint and complement the Company's existing chlorovinyl production facilities in Europe and North America. The assets acquired and liabilities assumed and the results of operations of the Wilhelmshaven plant are included in the Performance and Essential Materials segment. The acquisition is accounted for as a business combination. The preliminary purchase price allocation reflects management's estimates and assumptions, including the recognition of $90 of property, plant and equipment. The remaining assets acquired were primarily inventories. The measurement period adjustments since the acquisition were not material. As of September 30, 2026, the Wilhelmshaven plant purchase price allocation is not final and is subject to change.</w:t>
      </w:r>
    </w:p>
    <w:p>
      <w:pPr>
        <w:spacing w:after="0" w:line="13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ACI/Perplastic Group - </w:t>
      </w:r>
      <w:r>
        <w:rPr>
          <w:rFonts w:ascii="Times New Roman" w:cs="Times New Roman" w:eastAsia="Times New Roman" w:hAnsi="Times New Roman"/>
          <w:sz w:val="18"/>
          <w:szCs w:val="18"/>
          <w:color w:val="auto"/>
        </w:rPr>
        <w:t>On January 5, 2026, the Company completed the acquisition of the global compounding solutions businesses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ACI/Perplastic Group (collectively, "ACI") for a preliminary purchase price of approximately $124, subject to various adjustments. As of September 30, 2026, approximately $40 of the preliminary purchase price is accrued. ACI is a Portugal-based global manufacturer of specialty materials serving the wire and cable sectors. The Company's acquisition consisted of all the equity interest of ACI's entities operating manufacturing locations in Portugal, Mexico, Tunisia and Romania and certain assets located in China. The assets acquired and liabilities assumed and the results of operations of ACI are included in the Housing and Infrastructure Products segment. The preliminary purchase price allocation reflects management's estimates and assumptions, and included the recognition of total intangible assets of $67 and goodwill of $38. The intangible assets primarily consist of customer relationships and developed technology, with estimated useful lives in the range of 16 to 18 years. The measurement period adjustments since the acquisition were not material. The goodwill is primarily attributable to the assembled workforce, synergies and growth in new market segments expected to arise after the acquisition. As of September 30, 2026, the ACI purchase price allocation is not final and is subject to change.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had restricted cash and cash equivalents of $17 and $16 at September 30, 2026 and December 31, 2025, respectively. The Company's restricted cash and cash equivalents are primarily related to balances that are restricted for payment of distributions to certain of the Company's current and former employees and are reflected primarily in other assets, net in the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Investments in securities at September 30, 2026 and December 31, 2025 consisted of available-for-sale debt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cost, fair value and fair value levels of the Company's available-for-sale debt securities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Level</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103</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 agency securities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Supranational securities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maturities of debt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Within one year</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One to five years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Six to ten years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After ten years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43"/>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Level</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 agency securities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Supranational securities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maturities of debt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Within one year</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One to five years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Six to ten years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After ten years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204</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The fair value of the available-for-sale debt securities is determined based on observable market-based inputs, such as quotes from financial reporting services. Unrealized and realized gains and losses, and accrued interest on available-for-sale debt securities for the nine months ended September 30, 2026 were immaterial. As of September 30, 2026, no allowance for credit losses was recorded for these investments.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2"/>
                <w:szCs w:val="22"/>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Feedstock, additives, chemicals and other raw materials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amounts and changes in the carrying amount of goodwill for the nine months ended September 30, 2026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Housing and</w:t>
            </w:r>
          </w:p>
        </w:tc>
        <w:tc>
          <w:tcPr>
            <w:tcW w:w="12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Infrastructure</w:t>
            </w:r>
          </w:p>
        </w:tc>
        <w:tc>
          <w:tcPr>
            <w:tcW w:w="120" w:type="dxa"/>
            <w:vAlign w:val="bottom"/>
          </w:tcPr>
          <w:p>
            <w:pPr>
              <w:spacing w:after="0"/>
              <w:rPr>
                <w:sz w:val="12"/>
                <w:szCs w:val="12"/>
                <w:color w:val="auto"/>
              </w:rPr>
            </w:pPr>
          </w:p>
        </w:tc>
        <w:tc>
          <w:tcPr>
            <w:tcW w:w="14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Essential Materials</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Products Segment</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balances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exchange rates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balances at September 30,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60" w:firstLine="405"/>
        <w:spacing w:after="0" w:line="282" w:lineRule="auto"/>
        <w:rPr>
          <w:sz w:val="20"/>
          <w:szCs w:val="20"/>
          <w:color w:val="auto"/>
        </w:rPr>
      </w:pPr>
      <w:r>
        <w:rPr>
          <w:rFonts w:ascii="Times New Roman" w:cs="Times New Roman" w:eastAsia="Times New Roman" w:hAnsi="Times New Roman"/>
          <w:sz w:val="18"/>
          <w:szCs w:val="18"/>
          <w:color w:val="auto"/>
        </w:rPr>
        <w:t>The goodwill balance is presented net of accumulated impairment losses of $855 as of September 30, 2026 and December 31, 2025, in the Performance and Essential Materials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Payable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payable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spacing w:after="0"/>
              <w:rPr>
                <w:sz w:val="17"/>
                <w:szCs w:val="17"/>
                <w:color w:val="auto"/>
              </w:rPr>
            </w:pPr>
          </w:p>
        </w:tc>
        <w:tc>
          <w:tcPr>
            <w:tcW w:w="4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4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to related parties</w:t>
            </w:r>
          </w:p>
        </w:tc>
        <w:tc>
          <w:tcPr>
            <w:tcW w:w="4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other short-term payable</w:t>
            </w:r>
          </w:p>
        </w:tc>
        <w:tc>
          <w:tcPr>
            <w:tcW w:w="4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22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0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3.60% senior notes due August 2026 (the "3.60% 2026 Senior Notes")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9"/>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Loan related to tax-exempt waste disposal revenue bonds due December 2027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1.625% €700 million senior notes due July 2029 (the "1.625% 2029 Senior Notes")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30"/>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3.375% senior notes due June 2030 (the "3.375% 2030 Senior Notes")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3.50% senior notes due November 2032 (the "3.50% 2032 tax-exempt GO Zone Refunding Senior Notes")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5.550% senior notes due November 2035 (the "5.550% 2035 Senior Notes")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2.875% senior notes due August 2041 (the "2.875% 2041 Senior Notes")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5.00% senior notes due August 2046 (the "5.00% 2046 Senior Notes")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4.375% senior notes due November 2047 (the "4.375% 2047 Senior Notes")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senior notes due August 2051 (the "3.125% 2051 Senior Notes")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6.375% senior notes due November 2055 (the "6.375% 2055 Senior Notes")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3.375% senior notes due August 2061 (the "3.375% 2061 Senior Notes")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due March 2026</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principal amount</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carrying value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3.60% 2026 Senior Notes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term loans</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portion</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carrying value, net of current portion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8" w:lineRule="exact"/>
        <w:rPr>
          <w:sz w:val="20"/>
          <w:szCs w:val="20"/>
          <w:color w:val="auto"/>
        </w:rPr>
      </w:pPr>
    </w:p>
    <w:p>
      <w:pPr>
        <w:ind w:left="420" w:right="460" w:hanging="412"/>
        <w:spacing w:after="0" w:line="281" w:lineRule="auto"/>
        <w:tabs>
          <w:tab w:leader="none" w:pos="4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call dates for these Senior Notes are between three and six months prior to the respective maturity dates, except for the 3.50% 2032 tax-exempt GO Zone Refunding Senior Notes for which the par call date is November 2027.</w:t>
      </w:r>
    </w:p>
    <w:p>
      <w:pPr>
        <w:spacing w:after="0" w:line="1" w:lineRule="exact"/>
        <w:rPr>
          <w:rFonts w:ascii="Times New Roman" w:cs="Times New Roman" w:eastAsia="Times New Roman" w:hAnsi="Times New Roman"/>
          <w:sz w:val="18"/>
          <w:szCs w:val="18"/>
          <w:color w:val="auto"/>
        </w:rPr>
      </w:pPr>
    </w:p>
    <w:p>
      <w:pPr>
        <w:ind w:left="420" w:right="440" w:hanging="412"/>
        <w:spacing w:after="0" w:line="281" w:lineRule="auto"/>
        <w:tabs>
          <w:tab w:leader="none" w:pos="4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waste disposal revenue bonds accrues at a rate determined by a remarketing agent. The interest rate on the waste disposal revenue bonds at September 30, 2026 was 3.50%.</w:t>
      </w:r>
    </w:p>
    <w:p>
      <w:pPr>
        <w:spacing w:after="0" w:line="1" w:lineRule="exact"/>
        <w:rPr>
          <w:rFonts w:ascii="Times New Roman" w:cs="Times New Roman" w:eastAsia="Times New Roman" w:hAnsi="Times New Roman"/>
          <w:sz w:val="18"/>
          <w:szCs w:val="18"/>
          <w:color w:val="auto"/>
        </w:rPr>
      </w:pPr>
    </w:p>
    <w:p>
      <w:pPr>
        <w:ind w:left="420" w:right="560" w:hanging="412"/>
        <w:spacing w:after="0" w:line="282" w:lineRule="auto"/>
        <w:tabs>
          <w:tab w:leader="none" w:pos="4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29, 2026, the Company redeemed all of its outstanding 3.60% 2026 Senior Notes at a redemption price equal to 100% of the principal amount of the notes redeemed, plus accrued and unpaid interest through the redemption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right="940" w:firstLine="405"/>
        <w:spacing w:after="0" w:line="282" w:lineRule="auto"/>
        <w:rPr>
          <w:sz w:val="20"/>
          <w:szCs w:val="20"/>
          <w:color w:val="auto"/>
        </w:rPr>
      </w:pPr>
      <w:r>
        <w:rPr>
          <w:rFonts w:ascii="Times New Roman" w:cs="Times New Roman" w:eastAsia="Times New Roman" w:hAnsi="Times New Roman"/>
          <w:sz w:val="18"/>
          <w:szCs w:val="18"/>
          <w:color w:val="auto"/>
        </w:rPr>
        <w:t>Unamortized debt issuance costs on long-term debt were $41 and $42 at September 30, 2026 and December 31, 2025, respectively. As of September 30, 2026, the Company was in compliance with all of its long-term debt covenants.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Redemption</w:t>
      </w:r>
    </w:p>
    <w:p>
      <w:pPr>
        <w:spacing w:after="0" w:line="9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On May 29, 2026, the Company redeemed all $496 aggregate principal amount of its outstanding 3.60% 2026 Senior Notes at a redemption price equal to 100% of the principal amount of the notes redeemed, plus accrued and unpaid interest through the redemption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0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June 9, 2022, the Company entered into a $1,500 revolving credit facility that was scheduled to mature on June 9, 2027 (the "Credit Agreement"). The Credit Agreement bore interest at either (a) Adjusted Term Secured Overnight Financing Rate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contained certain affirmative and negative covenants, including a quarterly total leverage ratio financial maintenance covenant.</w:t>
      </w:r>
    </w:p>
    <w:p>
      <w:pPr>
        <w:spacing w:after="0" w:line="1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April 2, 2026, the Company entered into a credit agreement (the "New Credit Agreement"), by and among the Company, the lenders from time-to-time party thereto (collectively, the "Lenders"), the issuing banks thereto and JPMorgan Chase Bank, National Association, as administrative agent. Under the New Credit Agreement, the Lenders have committed to provide an unsecured revolving credit facility in an aggregate principal amount of up to $1,500. The new revolving credit facility replaced the Company's previous $1,500 revolving credit facility pursuant to the Credit Agreement, which was terminated on April 2, 2026. The New Credit Agreement became effective on April 2, 2026 and borrowings thereunder will mature on April 2, 2031. The New Credit Agreement bears interest at either (a) Term SOFR Rate (as defined in the New Credit Agreement) plus a margin ranging from 1.00% to 1.625% per annum or (b) Alternate Base Rate (as defined in the New Credit Agreement) plus a margin ranging from 0.00% to 0.625% per annum, in each case depending on the credit rating of the Company. The New Credit Agreement also requires an undrawn commitment fee ranging from 0.090% to 0.200% that will vary depending on the credit rating of the Company. The New Credit Agreement includes a $150 sub-limit for letters of credit, and any outstanding letters of credit will be deducted from availability under the facility and provides for a discretionary $50 commitment for swingline loans to be provided on a same-day basis. The Company may also increase the size of the facility, in increments of at least $25, up to a maximum of $500, subject to certain conditions. The New Credit Agreement contains customary affirmative and negative covenants, including a quarterly total leverage ratio financial maintenance covenant.</w:t>
      </w:r>
    </w:p>
    <w:p>
      <w:pPr>
        <w:spacing w:after="0" w:line="133"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no borrowings or letters of credit outstanding, had borrowing availability of $1,500 under the New Credit Agreement, and was in compliance with the total leverage ratio financial maintenance covenant.</w:t>
      </w:r>
    </w:p>
    <w:p>
      <w:pPr>
        <w:spacing w:after="0" w:line="10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$58 of standby letters of credit that were issued outside of the New Credit Agreement in the ordinary course of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Loss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for the nine months ended September 30, 2026 and 2025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5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Benefits Liability, Net</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of Tax</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Exchange, Net of Tax</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Net of Tax</w:t>
            </w: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other comprehensive loss attributable to Westlake Corporation</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2026</w:t>
            </w: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other comprehensive loss attributable to Westlake Corporation</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2026</w:t>
            </w: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other comprehensive income (loss) attributable to Westlake</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2026</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attributable to Westlake Corporation</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2025</w:t>
            </w: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attributable to Westlake Corporation</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other comprehensive income (loss) attributable to Westlake</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2025</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 has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 See Note 3 "Financial Instruments" to the unaudited consolidated financial statements in this Form 10-Q for a discussion of the Company's investments in available-for-sale securities.</w:t>
      </w:r>
    </w:p>
    <w:p>
      <w:pPr>
        <w:spacing w:after="0" w:line="1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majority of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and fair values of the Company's total long-term debt are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7"/>
                <w:szCs w:val="17"/>
                <w:color w:val="auto"/>
              </w:rPr>
            </w:pPr>
          </w:p>
        </w:tc>
        <w:tc>
          <w:tcPr>
            <w:tcW w:w="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54"/>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4,873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08"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The effective income tax rate was (125.0)% for the three months ended September 30, 2026 as compared to the effective income tax rate of 0.4% for the three months ended September 30, 2025. The effective income tax rate for the three months ended September 30, 2026 of (125.0)% was below the statutory rate of 21.0% primarily due to an increase in foreign losses in jurisdictions with statutory rates above 21%, income attributable to noncontrolling interests, and U.S. federal research and development credits available to the Company. These tax benefits were partially offset by reserves for uncertain tax positions, withholding tax accruals on unremitted foreign earnings, non-deductible executive compensation, and state taxes. These adjustments had an increased impact on the effective income tax rate due to lower income before income taxes for the three months ended September 30, 2026. The effective income tax rate for the three months ended September 30, 2025 was below the statutory rate of 21.0% primarily due to the non-deductible goodwill impairment charge associated with the North American Chlorovinyls reporting unit, a valuation allowance recorded against Westlake Epoxy Netherlands's net operating loss, and the impact of earnings mix across jurisdictions. These adjustments had an inflated impact on the effective income tax rate due to the pre-tax loss for the three months ended September 30, 2025.</w:t>
      </w:r>
    </w:p>
    <w:p>
      <w:pPr>
        <w:spacing w:after="0" w:line="14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effective income tax rate was 15.4% for the nine months ended September 30, 2026 as compared to the effective income tax rate of (0.4)% for the nine months ended September 30, 2025. The effective income tax rate for the nine months ended September 30, 2026 was below the statutory rate of 21.0% primarily due to an increase in foreign losses in jurisdictions with statutory rates above 21%, income attributable to noncontrolling interests, and U.S. federal research and development credits available to the Company. These tax benefits were partially offset by reserves for uncertain tax positions, withholding tax accruals on unremitted foreign earnings, non-deductible executive compensation, and state taxes. The effective income tax rate for the nine months ended September 30, 2025 was below the statutory rate of 21.0% primarily due to the non-deductible goodwill impairment charge associated with the North American Chlorovinyls reporting unit, a valuation allowance recorded against Westlake Epoxy Netherlands's net operating loss, and the impact of earnings mix across jurisdictions. These adjustments had an inflated impact on the effective income tax rate due to the pre-tax loss for the nine months ended September 30, 2025.</w:t>
      </w:r>
    </w:p>
    <w:p>
      <w:pPr>
        <w:spacing w:after="0" w:line="211" w:lineRule="exact"/>
        <w:rPr>
          <w:sz w:val="20"/>
          <w:szCs w:val="20"/>
          <w:color w:val="auto"/>
        </w:rPr>
      </w:pPr>
    </w:p>
    <w:p>
      <w:pPr>
        <w:ind w:right="7800" w:firstLine="8"/>
        <w:spacing w:after="0" w:line="362" w:lineRule="auto"/>
        <w:tabs>
          <w:tab w:leader="none" w:pos="27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Earnings (Loss) and Dividends per Share </w:t>
      </w:r>
      <w:r>
        <w:rPr>
          <w:rFonts w:ascii="Times New Roman" w:cs="Times New Roman" w:eastAsia="Times New Roman" w:hAnsi="Times New Roman"/>
          <w:sz w:val="18"/>
          <w:szCs w:val="18"/>
          <w:b w:val="1"/>
          <w:bCs w:val="1"/>
          <w:i w:val="1"/>
          <w:iCs w:val="1"/>
          <w:color w:val="auto"/>
        </w:rPr>
        <w:t>Earnings (Loss) per Share</w:t>
      </w:r>
    </w:p>
    <w:p>
      <w:pPr>
        <w:spacing w:after="0" w:line="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has unvested restricted stock units outstanding that are considered participating securities and, therefore, computes basic and diluted earnings (loss) per share under the two-class method. Basic earnings (loss) per share for the periods are based upon the weighted average number of shares of common stock outstanding during each period. Diluted earnings per share include the effects of certain stock options and performance stock units. Diluted loss per share excludes the effects of certain stock options and performance stock units because the effect of including them would have been antidilutive.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Westlake Corporation</w:t>
            </w:r>
          </w:p>
        </w:tc>
        <w:tc>
          <w:tcPr>
            <w:tcW w:w="102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participating securities</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20" w:type="dxa"/>
            <w:vAlign w:val="bottom"/>
            <w:tcBorders>
              <w:top w:val="single" w:sz="8" w:color="auto"/>
              <w:bottom w:val="single" w:sz="8" w:color="auto"/>
            </w:tcBorders>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1"/>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98"/>
        </w:trPr>
        <w:tc>
          <w:tcPr>
            <w:tcW w:w="5240" w:type="dxa"/>
            <w:vAlign w:val="bottom"/>
          </w:tcPr>
          <w:p>
            <w:pPr>
              <w:spacing w:after="0"/>
              <w:rPr>
                <w:sz w:val="24"/>
                <w:szCs w:val="24"/>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denominator for the basic and diluted earnings (loss) per share computations shown in the consolidated statements of operations: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127,830,227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128,251,427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127,953,601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128,265,950</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incremental shares from:</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5"/>
        </w:trPr>
        <w:tc>
          <w:tcPr>
            <w:tcW w:w="52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Assumed exercise of options and vesting of performance stock</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127,962,530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128,251,427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128,270,824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128,265,950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75"/>
        </w:trPr>
        <w:tc>
          <w:tcPr>
            <w:tcW w:w="5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(loss) per common share attributable to Westlake</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4"/>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Options to purchase 1,312,539 and 1,007,701 shares of common stock for the three months ended September 30, 2026 and 2025, respectively, and 1,122,039 and 855,779 shares of common stock for the nine months ended September 30, 2026 and 2025, respectively, are excluded from the computation of diluted earnings per share. These options were outstanding during the periods reported but were excluded because the effect of including them would have been antidilutive. Performance stock units of 134,592 and 172,283 for the three and nine months ended September 30, 2025, respectively, were also excluded from the computation of diluted earnings per share, for the respective 2025 periods, because the effect of including them would have been antidilutive.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per Share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Dividends declared per common share for the three and nine months ended September 30, 2026 and 2025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0.5330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1.5930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920" w:firstLine="8"/>
        <w:spacing w:after="0" w:line="356"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 xml:space="preserve">Equity Method Investments </w:t>
      </w:r>
      <w:r>
        <w:rPr>
          <w:rFonts w:ascii="Times New Roman" w:cs="Times New Roman" w:eastAsia="Times New Roman" w:hAnsi="Times New Roman"/>
          <w:sz w:val="18"/>
          <w:szCs w:val="18"/>
          <w:i w:val="1"/>
          <w:iCs w:val="1"/>
          <w:color w:val="auto"/>
        </w:rPr>
        <w:t>LACC, LLC Joint Venture</w:t>
      </w:r>
    </w:p>
    <w:p>
      <w:pPr>
        <w:spacing w:after="0" w:line="1" w:lineRule="exact"/>
        <w:rPr>
          <w:sz w:val="20"/>
          <w:szCs w:val="20"/>
          <w:color w:val="auto"/>
        </w:rPr>
      </w:pPr>
    </w:p>
    <w:p>
      <w:pPr>
        <w:ind w:right="340" w:firstLine="405"/>
        <w:spacing w:after="0" w:line="270" w:lineRule="auto"/>
        <w:rPr>
          <w:sz w:val="20"/>
          <w:szCs w:val="20"/>
          <w:color w:val="auto"/>
        </w:rPr>
      </w:pPr>
      <w:r>
        <w:rPr>
          <w:rFonts w:ascii="Times New Roman" w:cs="Times New Roman" w:eastAsia="Times New Roman" w:hAnsi="Times New Roman"/>
          <w:sz w:val="18"/>
          <w:szCs w:val="18"/>
          <w:color w:val="auto"/>
        </w:rPr>
        <w:t>As of September 30, 2026, the Company owned an aggregate 50% membership interest in LACC, LLC ("LACC"). The Company accounts for its investment in LACC under the equity method of accounting and the change for the nine months ended September 30, 2026 was as follows:</w:t>
      </w:r>
    </w:p>
    <w:p>
      <w:pPr>
        <w:ind w:left="9880"/>
        <w:spacing w:after="0"/>
        <w:rPr>
          <w:sz w:val="20"/>
          <w:szCs w:val="20"/>
          <w:color w:val="auto"/>
        </w:rPr>
      </w:pPr>
      <w:r>
        <w:rPr>
          <w:rFonts w:ascii="Times New Roman" w:cs="Times New Roman" w:eastAsia="Times New Roman" w:hAnsi="Times New Roman"/>
          <w:sz w:val="14"/>
          <w:szCs w:val="14"/>
          <w:b w:val="1"/>
          <w:bCs w:val="1"/>
          <w:color w:val="auto"/>
        </w:rPr>
        <w:t>Investment in LACC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080" w:hanging="107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w:t>
      </w:r>
    </w:p>
    <w:p>
      <w:pPr>
        <w:spacing w:after="0" w:line="2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1" w:lineRule="exact"/>
        <w:rPr>
          <w:sz w:val="20"/>
          <w:szCs w:val="20"/>
          <w:color w:val="auto"/>
        </w:rPr>
      </w:pPr>
    </w:p>
    <w:p>
      <w:pPr>
        <w:ind w:left="1080" w:hanging="107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086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43180</wp:posOffset>
            </wp:positionV>
            <wp:extent cx="9086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100" w:space="720"/>
            <w:col w:w="1420"/>
          </w:cols>
          <w:pgMar w:left="320" w:top="118" w:right="3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 and Remaining Performance Obligations</w:t>
      </w:r>
    </w:p>
    <w:p>
      <w:pPr>
        <w:spacing w:after="0" w:line="108" w:lineRule="exact"/>
        <w:rPr>
          <w:sz w:val="20"/>
          <w:szCs w:val="20"/>
          <w:color w:val="auto"/>
        </w:rPr>
      </w:pPr>
    </w:p>
    <w:p>
      <w:pPr>
        <w:jc w:val="both"/>
        <w:ind w:right="200" w:firstLine="405"/>
        <w:spacing w:after="0" w:line="261" w:lineRule="auto"/>
        <w:rPr>
          <w:sz w:val="20"/>
          <w:szCs w:val="20"/>
          <w:color w:val="auto"/>
        </w:rPr>
      </w:pPr>
      <w:r>
        <w:rPr>
          <w:rFonts w:ascii="Times New Roman" w:cs="Times New Roman" w:eastAsia="Times New Roman" w:hAnsi="Times New Roman"/>
          <w:sz w:val="18"/>
          <w:szCs w:val="18"/>
          <w:color w:val="auto"/>
        </w:rPr>
        <w:t>In May 2022, the Company entered into a chlorine and hydrogen chloride exchange contract with one of its customers. In the third quarter of 2025, the Company received an up-front payment of $70, representing a fixed portion of the total transaction price. The up-front fee was recorded as a contract liability and will be recognized ratably in net sales over the 20-year contract period. In addition to the fixed portion of the transaction price, the Company charges certain variable fees under the contract.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contract liabilities, primarily included in other liabilities on the balance sheet,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76"/>
        </w:trPr>
        <w:tc>
          <w:tcPr>
            <w:tcW w:w="8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Revenues recognized that were included in the contract liability</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balances at the beginning of the period</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6"/>
        </w:trPr>
        <w:tc>
          <w:tcPr>
            <w:tcW w:w="8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Increases due to cash received and due, excluding amounts recognized as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revenues during the period</w:t>
            </w:r>
          </w:p>
        </w:tc>
        <w:tc>
          <w:tcPr>
            <w:tcW w:w="9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2026, the remaining performance obligations were $182, representing the fixed components of the transaction price, expected to be recognized over the remaining term of the Company's revenue contracts.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 Net</w:t>
      </w:r>
    </w:p>
    <w:p>
      <w:pPr>
        <w:spacing w:after="0" w:line="10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Other assets, net were $734 and $784 at September 30, 2026 and December 31, 2025, respectively. Deferred turnaround costs, net of accumulated amortization, included in other assets, net were $369 and $433 at September 30, 2026 and December 31,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Liabilities</w:t>
      </w:r>
    </w:p>
    <w:p>
      <w:pPr>
        <w:spacing w:after="0" w:line="108" w:lineRule="exact"/>
        <w:rPr>
          <w:sz w:val="20"/>
          <w:szCs w:val="20"/>
          <w:color w:val="auto"/>
        </w:rPr>
      </w:pPr>
    </w:p>
    <w:p>
      <w:pPr>
        <w:ind w:right="460"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$1,513 and $1,490 at September 30, 2026 and December 31, 2025, respectively. Accrued rebates and accrued operating lease liability, which are components of accrued and other liabilities, were $288 and $134 at September 30, 2026 and $225 and $138 at December 31, 2025, respectively. No other component of accrued and other liabilities was more than five percent of total current liabilities. Accrued liabilities with related parties were $21 and $31 at September 30, 2026 and December 31, 2025,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Transaction and Integration-Related Costs</w:t>
      </w:r>
    </w:p>
    <w:p>
      <w:pPr>
        <w:spacing w:after="0" w:line="94"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Restructuring, transaction and integration-related expenses for the three and nine months ended September 30, 2026, were $58 and $79, respectively, and primarily related to charges recorded in the third quarter of 2026 associated with the announced closure of the PVC facility in Cologne, Germany and closure costs that are recognized over time related to closures of certain North American chlorovinyl facilities and a styrene facility in 2025. Restructuring, transaction and integration-related expenses for the three and nine months ended September 30, 2025, were $17 and $139, respectively, and primarily consisted of closure costs of $15 and $130 for the three and nine months ended September 30, 2025 associated with the closure of the Pernis facility in 2025, as discussed below, and costs related to the closure of the PVC resin unit at the Suzhou Huasu Plastics plant located in China.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Cologne Facility Closure</w:t>
      </w:r>
    </w:p>
    <w:p>
      <w:pPr>
        <w:spacing w:after="0" w:line="92" w:lineRule="exact"/>
        <w:rPr>
          <w:sz w:val="20"/>
          <w:szCs w:val="20"/>
          <w:color w:val="auto"/>
        </w:rPr>
      </w:pPr>
    </w:p>
    <w:p>
      <w:pPr>
        <w:ind w:right="40" w:firstLine="405"/>
        <w:spacing w:after="0" w:line="271" w:lineRule="auto"/>
        <w:rPr>
          <w:sz w:val="20"/>
          <w:szCs w:val="20"/>
          <w:color w:val="auto"/>
        </w:rPr>
      </w:pPr>
      <w:r>
        <w:rPr>
          <w:rFonts w:ascii="Times New Roman" w:cs="Times New Roman" w:eastAsia="Times New Roman" w:hAnsi="Times New Roman"/>
          <w:sz w:val="17"/>
          <w:szCs w:val="17"/>
          <w:color w:val="auto"/>
        </w:rPr>
        <w:t>In September 2026, the Company announced a plan to cease operation of its PVC production plant located in Cologne, Germany, subject to completion of local consultation obligations. The production at the Cologne plant is expected to cease in the first quarter of 2027. The Company plans to continue supplying customers with PVC from its other chlorovinyl facilities, including the recently acquired production site located in Wilhelmshaven, Germany. The total costs recognized for the three and nine months ended September 30, 2026 were $51, of which $50 was included in the restructuring, transaction and integration-related costs and $1 was included in cost of sales in the Company's consolidated statements of operations and Performance and Essential Materials segment operating results. These plant shutdown related costs recorded represent management's best estimate based on information currently available and are subject to change as additional information becomes available. The Company expects to recognize additional charges of $150 primarily consisting of asset write-down and accelerated depreciation and amortization charges of $84, contract termination costs of $57, and other plant shutdown costs of $9 in future periods in connection with the closure. The Company expects to complete the closure plan of the facility by the end of 2027.</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asset write-downs and accelerated depreciation and amortization and the accrual activity related to the closure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Cologne facility included in accrued and other liabilities, and other liabilities in the Company's consolidated balance sheets: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14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Asset Retirement</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Write-Downs</w:t>
            </w: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Depreciation and</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write-downs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72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Balances at September 30,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North American Chlorovinyl Facilities and Styrene Facility Closures</w:t>
      </w:r>
    </w:p>
    <w:p>
      <w:pPr>
        <w:spacing w:after="0" w:line="106"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In December 2025, the Company ceased operations of certain of the Company's North American chlorovinyls production facilities, including (i) its PVC plant at the Aberdeen, Mississippi facility, (ii) its vinyl chloride monomer plant at the Lake Charles, Louisiana North facilities, and (iii) one of its diaphragm chlor-alkali units at the Lake Charles, Louisiana South facilities, as well as (iv) its styrene production plant located at the Lake Charles, Louisiana facilities. The total costs recognized by the Company in 2025 as a result of these closures were $393, which consisted of $287 related to accelerated depreciation and amortization and $30 related to asset write-downs, in addition to asset retirement obligations, severance and separation costs and other plant shutdown costs. The Company recognized asset write-downs of $2 in the three and nine months ended September 30, 2026, resulting in the total cumulative accelerated depreciation and amortization and asset write-down costs of $319 as of September 30, 2026. The Company expects to recognize additional charges related to severance and separation costs of $1 and other plant shutdown costs of $2 in future periods in connection with these closures, and complete the closure plan for these facilities by the end of 2027. Asset retirement obligations and plant shutdown costs recorded represent management's best estimate based on information currently available and are subject to change as additional information becomes available.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asset write-downs and accelerated depreciation and amortization and the accrual activity related to the closure of the chlorovinyls and styrene facilities included in accrued and other liabilities, and other liabilities in the Company's consolidated balance sheets, and the cumulative charges recognized:</w:t>
      </w:r>
    </w:p>
    <w:p>
      <w:pPr>
        <w:spacing w:after="0" w:line="80"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Accelerated</w:t>
      </w:r>
    </w:p>
    <w:p>
      <w:pPr>
        <w:jc w:val="center"/>
        <w:ind w:right="2440"/>
        <w:spacing w:after="0" w:line="221" w:lineRule="auto"/>
        <w:rPr>
          <w:sz w:val="20"/>
          <w:szCs w:val="20"/>
          <w:color w:val="auto"/>
        </w:rPr>
      </w:pPr>
      <w:r>
        <w:rPr>
          <w:rFonts w:ascii="Times New Roman" w:cs="Times New Roman" w:eastAsia="Times New Roman" w:hAnsi="Times New Roman"/>
          <w:sz w:val="14"/>
          <w:szCs w:val="14"/>
          <w:b w:val="1"/>
          <w:bCs w:val="1"/>
          <w:color w:val="auto"/>
        </w:rPr>
        <w:t>Depreciation and</w:t>
      </w:r>
    </w:p>
    <w:tbl>
      <w:tblPr>
        <w:tblLayout w:type="fixed"/>
        <w:tblInd w:w="0" w:type="dxa"/>
        <w:tblCellMar>
          <w:top w:w="0" w:type="dxa"/>
          <w:left w:w="0" w:type="dxa"/>
          <w:bottom w:w="0" w:type="dxa"/>
          <w:right w:w="0" w:type="dxa"/>
        </w:tblCellMar>
      </w:tblPr>
      <w:tr>
        <w:trPr>
          <w:trHeight w:val="142"/>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Amortization and</w:t>
            </w: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Asset Retirement</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Severance and</w:t>
            </w: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Other Plant</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 Write-Downs</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Shutdown Costs</w:t>
            </w: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 charges and change in estimates</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March 31, 2026</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 charges and change in estimates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30, 2026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 charges and change in estimates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Cumulative charges recognized as of September</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00" w:type="dxa"/>
            <w:vAlign w:val="bottom"/>
            <w:vMerge w:val="continue"/>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30, 2026</w:t>
            </w:r>
          </w:p>
        </w:tc>
        <w:tc>
          <w:tcPr>
            <w:tcW w:w="1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Pernis Facility Closure</w:t>
      </w:r>
    </w:p>
    <w:p>
      <w:pPr>
        <w:spacing w:after="0" w:line="92"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Company ceased operations of its Pernis facility in 2025. The total costs recognized by the Company in 2025 as a result of this closure were $247, which consisted of $15 related to inventory write-off, in addition to asset retirement obligations, severance and separation costs and contract termination and other plant shutdown costs. The total costs recognized by the Company related to the Pernis mothballing in 2024 were $75. The Company expects to recognize additional charges related to severance and separation costs of $3 in future periods in connection with the plant closure and complete the closure plan by the end of 2030. Asset retirement obligations and plant shutdown costs recorded represent management's best estimate based on information currently available and are subject to change as additional information becomes available.</w:t>
      </w:r>
    </w:p>
    <w:p>
      <w:pPr>
        <w:spacing w:after="0" w:line="133"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asset write-downs and the accrual activity related to the closure of the Pernis facility included in accrued and other liabilities, and other liabilities in the Company's consolidated balance sheets and the cumulative charges recognized: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Write-Downs</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 Retirement</w:t>
            </w:r>
          </w:p>
        </w:tc>
        <w:tc>
          <w:tcPr>
            <w:tcW w:w="1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3"/>
                <w:szCs w:val="13"/>
                <w:color w:val="auto"/>
              </w:rPr>
            </w:pPr>
          </w:p>
        </w:tc>
        <w:tc>
          <w:tcPr>
            <w:tcW w:w="10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16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 Costs</w:t>
            </w: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 charges and change in estimates</w:t>
            </w: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2026</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 charges and change in estimates</w:t>
            </w: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30, 2026</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 charges and change in estimates</w:t>
            </w: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Cumulative charges recognized as of September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20" w:type="dxa"/>
            <w:vAlign w:val="bottom"/>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1"/>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30, 2026</w:t>
            </w:r>
          </w:p>
        </w:tc>
        <w:tc>
          <w:tcPr>
            <w:tcW w:w="1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net for all periods presented in the consolidated statements of operations consisted primarily of interest income.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of Cross Currency Swaps</w:t>
      </w:r>
    </w:p>
    <w:p>
      <w:pPr>
        <w:spacing w:after="0" w:line="9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foreign currency swap agreements, designated as net investment hedges, with an aggregate notional value of €150 million matured on August 15, 2026. Upon maturity, the agreements settled through physical delivery of the contractual euro amounts by the Company and receipt of U.S. dollars from the counterparties. This resulted in total cash paid, on a U.S. dollar equivalent basis of $175 and total cash received of $182.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9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obligations were $93 and $113 for the nine months ended September 30, 2026 and 2025,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Activities</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expenditure-related liabilities, included in accounts payable and accrued and other liabilities, were $93 and $93 at September 30, 2026 and September 30,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08" w:lineRule="exact"/>
        <w:rPr>
          <w:sz w:val="20"/>
          <w:szCs w:val="20"/>
          <w:color w:val="auto"/>
        </w:rPr>
      </w:pPr>
    </w:p>
    <w:p>
      <w:pPr>
        <w:ind w:right="40" w:firstLine="405"/>
        <w:spacing w:after="0" w:line="271" w:lineRule="auto"/>
        <w:rPr>
          <w:sz w:val="20"/>
          <w:szCs w:val="20"/>
          <w:color w:val="auto"/>
        </w:rPr>
      </w:pPr>
      <w:r>
        <w:rPr>
          <w:rFonts w:ascii="Times New Roman" w:cs="Times New Roman" w:eastAsia="Times New Roman" w:hAnsi="Times New Roman"/>
          <w:sz w:val="17"/>
          <w:szCs w:val="17"/>
          <w:color w:val="auto"/>
        </w:rPr>
        <w:t>The Company is involved in a number of legal and regulatory matters that are incidental to the normal conduct of its business, including lawsuits, investigations and claims. The outcomes of these matters are inherently unpredictable. The Company believes that, in the aggregate, the outcome of all known legal and regulatory matters will not have a material adverse effect on the Company's consolidated financial statements; however, under certain circumstances, if required to recognize costs in a specific period, when combined with other factors, outcomes with respect to such matters may be material to the Company's consolidated statements of operations in such period. The Company's assessment of the potential impact of environmental matters, in particular, is subject to uncertainty due to the complex, ongoing and evolving process of investigation and remediation of such environmental matters, and the potential for technological and regulatory developments. In addition, the impact of evolving claims and programs, such as natural resource damage claims, industrial site reuse initiatives and state remediation programs, creates further uncertainty of the ultimate resolution of these matters. The Company anticipates that the resolution of many legal and regulatory matters, and in particular environmental matters, will occur over an extended period of time.</w:t>
      </w:r>
    </w:p>
    <w:p>
      <w:pPr>
        <w:spacing w:after="0" w:line="11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Caustic Soda Antitrust</w:t>
      </w:r>
      <w:r>
        <w:rPr>
          <w:rFonts w:ascii="Times New Roman" w:cs="Times New Roman" w:eastAsia="Times New Roman" w:hAnsi="Times New Roman"/>
          <w:sz w:val="18"/>
          <w:szCs w:val="18"/>
          <w:color w:val="auto"/>
        </w:rPr>
        <w:t>. The Company and other caustic soda producers were named as defendants in multiple purported class action civil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since March 2019 in the U.S. District Court for the Western District of New York. The lawsuits allege the defendants conspired to fix, raise, maintain and stabilize the price of caustic soda, restrict domestic (U.S.) supply of caustic soda and allocate caustic soda customers, and were filed on behalf of certain named plaintiffs and a putative class comprised of either direct purchasers or indirect purchasers of caustic soda in the United States. The plaintiffs in the direct purchaser putative class and the indirect purchaser putative class sought $861 and $500, respectively, in single damages from the defendants, in addition to treble damages and attorney's fees in each case. The District Court has denied class certification for both the direct and indirect purchaser plaintiffs and the U.S. Court of Appeals for the Second Circuit denied the direct and indirect purchaser plaintiffs' petitions for leave to file an interlocutory appeal. At this time, the Company is not able to estimate the impact that these lawsuits could have on the Company's consolidated financial statements. Beginning in October 2020, similar class action proceedings were filed in Canada on behalf of certain Canadian residents who purchased caustic soda or products containing caustic soda. The parties agreed to a combined settlement, of which the Company is responsible for paying approximately $0.35, and the Federal Court approved the settlement in October 2026. The Company was also named as a defendant in a July 2023 claim now pending before the U.K. Competition Appeal Tribunal alleging that the Company and other producers sought to manipulate a third-party pricing index used in pricing sales of caustic soda, in violation of English and E.U. competition laws. The plaintiff alleges damages of approximately €80 million. At this time, the Company is not able to estimate the impact that this lawsuit could have on the Company's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Ethylene Antitrust. </w:t>
      </w:r>
      <w:r>
        <w:rPr>
          <w:rFonts w:ascii="Times New Roman" w:cs="Times New Roman" w:eastAsia="Times New Roman" w:hAnsi="Times New Roman"/>
          <w:sz w:val="18"/>
          <w:szCs w:val="18"/>
          <w:color w:val="auto"/>
        </w:rPr>
        <w:t>The Company and other ethylene consumers were the subject of a decision issued by the European Commission (Decision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AT.40410 – Ethylene) on July 14, 2020 relating to the exchange of certain commercial and pricing-related information and in fixing a price element related to certain purchases of ethylene between December 2011 and March 2017 (the "European Commission Decision"). Following the decision, the Company and other ethylene consumers have been named as defendants in a series of fourteen similar lawsuits in the Netherlands and Germany by various producers and sellers of ethylene and ethylene derivatives, which generally allege that the defendants (i) conspired to lower the purchase price for ethylene and ethylene derivatives and thus (ii) caused a cartel-induced undercharge for certain ethylene and/or ethylene derivative sales to the defendants and other third parties during the period identified in the European Commission Decision and for 24 months thereafter. Certain of the lawsuits allege damages of approximately €11,203 million in the aggregate (plus statutory interest accruing from the relevant dates), including approximately €1,025 million (plus statutory interest) alleged by Shell Chemical Europe B.V. ("SCE") in a lawsuit filed in March 2023, while the other lawsuits, including a lawsuit filed by Stichting Ethylene Claims ("Stichting") in November 2023, seek declaratory judgments establishing that the defendants are jointly and severally liable for an unspecified amount of damages. On July 29, 2026, the District Court of Amsterdam dismissed the claims against the Company and the other defendants in the SCE and Stichting lawsuits, and the plaintiffs in these lawsuits appealed the dismissal to the Amsterdam Court of Appeals on October 27, 2026. The other twelve lawsuits remain pending at first instance courts. At this time, the Company is not able to estimate the impact that these lawsuits, including any potential appeals, could have on the Company's consolidated financial statements.</w:t>
      </w:r>
    </w:p>
    <w:p>
      <w:pPr>
        <w:spacing w:after="0" w:line="13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PVC Pipe Antitrust. </w:t>
      </w:r>
      <w:r>
        <w:rPr>
          <w:rFonts w:ascii="Times New Roman" w:cs="Times New Roman" w:eastAsia="Times New Roman" w:hAnsi="Times New Roman"/>
          <w:sz w:val="18"/>
          <w:szCs w:val="18"/>
          <w:color w:val="auto"/>
        </w:rPr>
        <w:t>The Company and other manufacturers of PVC pipe and fittings have been named as defendants in ten putative class action civil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filed in Illinois between August 2024 and June 2025 and in one lawsuit in British Columbia, Canada in September 2025 which generally allege that PVC pipe and fittings manufacturers conspired with each other and an industry publication (OPIS) to fix, raise, maintain and stabilize the prices of PVC pipe and fittings in the United States and Canada, resulting in the plaintiffs paying artificially high prices for PVC pipe and fittings. The plaintiffs in these cases assert violations of various U.S. federal and state competition and consumer protection laws and Canadian competition and common laws, and seek relief including injunctive relief, damages of undisclosed amounts, and equitable relief, plus attorneys' fees and costs. The U.S. Department of Justice intervened and was granted a partial stay of discovery in the U.S. litigation due to its ongoing antitrust investigation of manufacturers of PVC pipe and others. In March 2026, the Company entered into a settlement agreement with the direct purchaser plaintiffs in the U.S. litigation pursuant to which, subject to the satisfaction of certain conditions, the Company agreed to pay $67 to settle such plaintiffs' claims in the U.S. litigation and paid the settlement amount in the second quarter of 2026. In October 2026, the court ordered final approval of the settlement. The claims by the indirect purchaser plaintiffs in the U.S. litigation remain pending. A class certification hearing has not yet been scheduled in the British Columbia proceeding. At this time, the Company is not able to estimate the impact that the remaining lawsuits could have on the Company's consolidated financial statements.</w:t>
      </w:r>
    </w:p>
    <w:p>
      <w:pPr>
        <w:spacing w:after="0" w:line="136" w:lineRule="exact"/>
        <w:rPr>
          <w:sz w:val="20"/>
          <w:szCs w:val="20"/>
          <w:color w:val="auto"/>
        </w:rPr>
      </w:pPr>
    </w:p>
    <w:p>
      <w:pPr>
        <w:ind w:right="180" w:firstLine="405"/>
        <w:spacing w:after="0" w:line="275" w:lineRule="auto"/>
        <w:rPr>
          <w:sz w:val="20"/>
          <w:szCs w:val="20"/>
          <w:color w:val="auto"/>
        </w:rPr>
      </w:pPr>
      <w:r>
        <w:rPr>
          <w:rFonts w:ascii="Times New Roman" w:cs="Times New Roman" w:eastAsia="Times New Roman" w:hAnsi="Times New Roman"/>
          <w:sz w:val="18"/>
          <w:szCs w:val="18"/>
          <w:i w:val="1"/>
          <w:iCs w:val="1"/>
          <w:color w:val="auto"/>
        </w:rPr>
        <w:t>Brazilian Contractual Indemnification Lawsuit</w:t>
      </w:r>
      <w:r>
        <w:rPr>
          <w:rFonts w:ascii="Times New Roman" w:cs="Times New Roman" w:eastAsia="Times New Roman" w:hAnsi="Times New Roman"/>
          <w:sz w:val="18"/>
          <w:szCs w:val="18"/>
          <w:color w:val="auto"/>
        </w:rPr>
        <w:t>. In July 2012, PPG Industries, Inc. ("PPG") entered into an agreement to separate various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of its commodity chemicals business, which were transferred to a subsidiary of Eagle Spinco, Inc., a wholly owned subsidiary of PPG ("Eagle</w:t>
      </w:r>
    </w:p>
    <w:p>
      <w:pPr>
        <w:ind w:right="140"/>
        <w:spacing w:after="0" w:line="261" w:lineRule="auto"/>
        <w:rPr>
          <w:sz w:val="20"/>
          <w:szCs w:val="20"/>
          <w:color w:val="auto"/>
        </w:rPr>
      </w:pPr>
      <w:r>
        <w:rPr>
          <w:rFonts w:ascii="Times New Roman" w:cs="Times New Roman" w:eastAsia="Times New Roman" w:hAnsi="Times New Roman"/>
          <w:sz w:val="18"/>
          <w:szCs w:val="18"/>
          <w:color w:val="auto"/>
        </w:rPr>
        <w:t>Spinco"). Eagle Spinco is currently a wholly owned indirect subsidiary of the Company. In May 2024, a trial court in Manaus, Brazil issued a decision awarding damages to Brazilian company Di Gregorio Navegacao, Ltda ("Di Gregorio") in a lawsuit filed by Di Gregorio against PPG relating to an explosion on November 9, 1998 that destroyed the M/V DG Harmony and her cargo, which included PPG-owned calcium hypochlorite (the "Di Gregorio Lawsuit"). The decision awarded damages to Di Gregorio in the approximate amount of R$550 million (Brazilian real), plus a monetary adjustment and</w:t>
      </w:r>
    </w:p>
    <w:p>
      <w:pPr>
        <w:spacing w:after="0" w:line="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interest accruing from April 3, 2006, as well as 20% for legal fees. PPG appealed the trial court's decision and the Amazonas Court of Appeals issued a decision affirming in part the trial court's decision. In November 2025, PPG filed a subsequent special appeal to Brazil's Superior Court of Justice, which is pending. In June 2024, PPG filed a lawsuit against the Company in the Delaware Chancery Court asserting that the Company is responsible for any judgment in the Di Gregorio Lawsuit. The Company has asserted counterclaims against PPG seeking a declaration that the Di Gregorio Lawsuit is indemnifiable and that if PPG seeks reimbursement for any losses related to the Di Gregorio Lawsuit, it must assign to Eagle Spinco its rights to relevant insurance proceeds. The Delaware lawsuit remains pending. At this time, the Company is not able to estimate the impact that the Delaware lawsuit and Eagle Spinco's contractual obligations related to the lawsuit could have on the Company's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Calvert City Proceedings. </w:t>
      </w:r>
      <w:r>
        <w:rPr>
          <w:rFonts w:ascii="Times New Roman" w:cs="Times New Roman" w:eastAsia="Times New Roman" w:hAnsi="Times New Roman"/>
          <w:sz w:val="18"/>
          <w:szCs w:val="18"/>
          <w:color w:val="auto"/>
        </w:rPr>
        <w:t>As the current owner of the Calvert City, Kentucky facility, the Company was named as a potentially responsible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Comprehensive Environmental Response, Compensation, and Liability Act of 1980 along with Goodrich Corporation ("Goodrich") and its successor-in-interest, Avient Corporation ("Avient"). The allocation of liability for investigation and remediation costs at the Calvert City site is governed by a series of agreements between the Company, Goodrich and Avient. In March 2022, the Company filed a demand for arbitration seeking reimbursement for certain allocable costs incurred and which Avient has failed to pay or disputed under these agreements, and in November 2025, the Company and Avient agreed to expand the scope of the pending arbitration to include allocable costs incurred during the period between May 2017 and October 2025. Avient claims that the Company is liable for up to $39 of allocable costs from that period. At this time, the Company is not able to estimate the impact that these proceedings could have on the Company's consolidated financial statements.</w:t>
      </w:r>
    </w:p>
    <w:p>
      <w:pPr>
        <w:spacing w:after="0" w:line="13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Sulphur Mines Dome. </w:t>
      </w:r>
      <w:r>
        <w:rPr>
          <w:rFonts w:ascii="Times New Roman" w:cs="Times New Roman" w:eastAsia="Times New Roman" w:hAnsi="Times New Roman"/>
          <w:sz w:val="18"/>
          <w:szCs w:val="18"/>
          <w:color w:val="auto"/>
        </w:rPr>
        <w:t>The Louisiana Department of Conservation and Energy ("LDCE"), (formerly known as the Louisiana Department of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Natural Resources) issued Compliance Order No. IMD 2022-027 and several supplements to that order, the latest in October 2023, in response to pressure anomaly events in two of the Company's salt solution-mining caverns at the Sulphur Mines Dome in Sulphur, Louisiana, which required the Company to undertake various activities related to response planning, monitoring, investigation and mitigation. Following another pressure event in June 2024, LDCE ordered the Company to take additional measures at the brine caverns, including the construction of a dome-wide containment structure. As of September 30, 2026, the Company had accrued an estimated liability of approximately $20 in connection with monitoring wells and other remedial activities, and additional compliance costs will continue to be incurred. At this time, the Company is unable to estimate the impact, if any, that other ongoing expenditures or future injunctive relief ordered by the government could have on the Company's consolidated financial statements. In November 2024, Yellow Rock LLC ("Yellow Rock") filed an amended petition in the 14th Judicial District Court of Calcasieu Parish, Louisiana alleging that the Company improperly withdrew and sold oil belonging to Yellow Rock and asserting claims of negligence and breach of duties by the Company in connection with the operation and maintenance of caverns at the Sulphur Mines Dome, alleging damages to Yellow Rock's mineral rights in excess of $100. The lawsuit remains pending. In June 2025, Yellow Rock filed a separate petition in the 14th Judicial District Court of Calcasieu Parish, Louisiana alleging that the Company improperly extracted salt and brine belonging to Yellow Rock. That lawsuit was dismissed with prejudice in February 2026, and it is currently being appealed. In July 2026, the Company filed its own petition in the 14th Judicial District Court of Calcasieu Parish, Louisiana alleging that Yellow Rock caused these pressure anomaly events. At this time, the Company is not able to estimate the impact that these lawsuits could have on the Company's consolidated financial statements.</w:t>
      </w:r>
    </w:p>
    <w:p>
      <w:pPr>
        <w:spacing w:after="0" w:line="141" w:lineRule="exact"/>
        <w:rPr>
          <w:sz w:val="20"/>
          <w:szCs w:val="20"/>
          <w:color w:val="auto"/>
        </w:rPr>
      </w:pPr>
    </w:p>
    <w:p>
      <w:pPr>
        <w:ind w:right="60" w:firstLine="405"/>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Environmental Contingencies and Reasonably Possible Matters. </w:t>
      </w:r>
      <w:r>
        <w:rPr>
          <w:rFonts w:ascii="Times New Roman" w:cs="Times New Roman" w:eastAsia="Times New Roman" w:hAnsi="Times New Roman"/>
          <w:sz w:val="17"/>
          <w:szCs w:val="17"/>
          <w:color w:val="auto"/>
        </w:rPr>
        <w:t>As of September 30, 2026 and December 31, 2025, the Company had accrued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liability for environmental contingencies totaling approximately $64 and $69, respectively, most of which was classified as noncurrent liabilities. The Company's assessment of the potential impact of these environmental contingencies is subject to considerable uncertainty due to the complex, ongoing and evolving process of investigation and, if necessary, remediation, of such environmental contingencies, and the potential for technological and regulatory developments. As such, in addition to the amounts currently reserved for contingencies that are probable and reasonably estimable as discussed above, the Company may be subject to reasonably possible loss contingencies related to environmental matters in the range of $100 to $170.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94"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 operates in two principal operating segments, which are the Company's reportable segments, Housing and Infrastructure Products and Performance and Essential Materials. These segments are strategic business units that offer a variety of different materials and products. The Company manages each segment separately as each business requires different technology and marketing strategies.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Housing Products</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Materials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 and consolidated</w:t>
            </w:r>
          </w:p>
        </w:tc>
        <w:tc>
          <w:tcPr>
            <w:tcW w:w="9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of sales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of sales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(loss), net</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8"/>
        </w:trPr>
        <w:tc>
          <w:tcPr>
            <w:tcW w:w="5240" w:type="dxa"/>
            <w:vAlign w:val="bottom"/>
          </w:tcPr>
          <w:p>
            <w:pPr>
              <w:spacing w:after="0"/>
              <w:rPr>
                <w:sz w:val="24"/>
                <w:szCs w:val="24"/>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total reportable segments income (loss) from operations to consolidated income (loss) before income taxes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 income (loss) from operations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loss from operations</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1">
            <w:col w:w="11240"/>
          </w:cols>
          <w:pgMar w:left="320" w:top="118" w:right="339" w:bottom="1440" w:gutter="0" w:footer="0" w:header="0"/>
        </w:sect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11" w:lineRule="exact"/>
        <w:rPr>
          <w:sz w:val="20"/>
          <w:szCs w:val="20"/>
          <w:color w:val="auto"/>
        </w:rPr>
      </w:pPr>
    </w:p>
    <w:p>
      <w:pPr>
        <w:sectPr>
          <w:pgSz w:w="11900" w:h="16838" w:orient="portrait"/>
          <w:cols w:equalWidth="0" w:num="2">
            <w:col w:w="9420" w:space="680"/>
            <w:col w:w="11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Performance and Essential Materials </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19,961</w:t>
            </w:r>
          </w:p>
        </w:tc>
      </w:tr>
      <w:tr>
        <w:trPr>
          <w:trHeight w:val="20"/>
        </w:trPr>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8"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 method investments of $1,040 and $1,062 as of September 30, 2026 and December 31, 2025,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Westlake Chemical Partners LP</w:t>
      </w:r>
    </w:p>
    <w:p>
      <w:pPr>
        <w:spacing w:after="0" w:line="9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2014, the Company formed Westlake Chemical Partners LP ("Westlake Partners") to operate, acquire and develop ethylene production facilities and related assets. Also in 2014, Westlake Partners completed its initial public offering of 12,937,500 common units. As of September 30, 2026, Westlake Partners had a 22.8% limited partner interest in Westlake Chemical OpCo LP ("OpCo"), and the Company retained a 77.2% limited partner interest in OpCo and a significant interest in Westlake Partners through the Company's ownership of Westlake Partners' general partner, 40.1% of the limited partner interests (consisting of 14,122,230 common units) and incentive distribution rights.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information contained in the accompanying unaudited consolidated interim financial statements of Westlake Corporation and the notes thereto and the consolidated financial statements and notes thereto of Westlake Corporation included in Westlake Corporation's Annual Report on Form 10-K for the fiscal year ended December 31, 2025 (the "2025 Form 10-K"). Unless otherwise indicated, references in this report to "we," "our," "us" or like terms refer to Westlake Corporation ("Westlake" or the "Company"). The following discussion contains forward-looking statements. Please read "Forward-Looking Statements" for a discussion of limitations inherent in such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are a vertically integrated global manufacturer and marketer of both housing and infrastructure products and performance and essential materials. We operate in two principal operating segments, Housing and Infrastructure Products ("HIP") and Performance and Essential Materials ("PEM"). The HIP segment includes Westlake Royal Building Products, Westlake Pipe &amp; Fittings and Westlake Global Compounds. The PEM segment includes Westlake North American Chlorovinyls, Westlake European &amp; Asian Chlorovinyls, Westlake Olefins and Polyethylene and Westlake Epoxy. We are highly integrated along our materials chain with significant downstream integration from ethylene and chlor-alkali ("chlorine and caustic soda") into vinyls, polyethylene ("PE") and epoxy. We also have substantial downstream integration from polyvinyl chloride ("PVC") into our HIP segment for our residential building products, PVC pipe and fittings, and PVC compounds.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 Roofing Business</w:t>
      </w:r>
    </w:p>
    <w:p>
      <w:pPr>
        <w:spacing w:after="0" w:line="10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October 1, 2026, the Company's subsidiary, Westlake Royal Roofing LLC, completed the acquisition of a rolled steel metal panel business for a preliminary purchase price of approximately $36 million, subject to various adjustments. The assets acquired and liabilities assumed and the results of operations of the acquired business will be included in the Housing and Infrastructure Products segment from the acquisition date. Due to the timing of the acquisition, the opening balance for the acquisition will be accounted for in our Annual Report on Form 10-K for the fiscal year ending December 31,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Cologne Facility Closure</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September 29, 2026, the Company announced a plan to cease operation of its PVC production plant located in Cologne, Germany, subject to completion of local consultation obligations. The plant has an annual production capacity of approximately 365 million pounds. The production at the Cologne plant is expected to cease in the first quarter of 2027. The Company plans to continue supplying customers with PVC from its other chlorovinyl facilities, including the recently acquired production site located in Wilhelmshaven, Germany. The total costs recognized for the three and nine months ended September 30, 2026 were $51 million, of which $50 million was included in the restructuring, transaction and integration-related costs and the rest in the cost of sales in the Company's consolidated statements of operations and Performance and Essential Materials segment operating results. The total cost of $51 million consisted of accelerated depreciation and amortization and asset write-downs of $34 million and severance and separation costs of $17 million. These plant shutdown related costs recorded represent management's best estimate based on information currently available and are subject to change as additional information becomes available. The Company expects to recognize additional charges of $150 million primarily consisting of accelerated depreciation and amortization, and asset write-down charges of $84 million, contract termination costs of $57 million and other plant shutdown costs of $9 million in future periods in connection with the closure. We expect to complete the closure of the facility by the end of 2027.</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Middle East Conflict</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February 2026, a military conflict primarily involving the United States, Israel and Iran commenced in the Middle East. As a result, the global energy, petrochemical and transportation markets have experienced significant volatility and supply constraints with naphtha-based petrochemical producers in particular facing significantly higher production costs and feedstock supply limitations. Although we do not have operations in the Middle East and the substantial majority of our energy and feedstock requirements are sourced from North America and do not use naphtha-based supply, the ongoing disruptions to global shipping and elevated logistical costs continue to create inflationary pressures across our broader supply-chain. These disruptions may continue for an undeterminable period of time and may continue to increase costs for feedstocks, energy, and logistics services. We are actively assessing these conditions and their potential impact on our global operations. Please also see our Outlook section below for discussion of potential impacts on our HIP and PEM segments.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w:t>
      </w:r>
    </w:p>
    <w:p>
      <w:pPr>
        <w:spacing w:after="0" w:line="108"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Our HIP segment is primarily comprised of residential building products, PVC pipe and fittings, and compound products made from PVC and other polymers. Our sales are affected by the level of new home construction and home repair and remodeling activity, particularly in North America, water infrastructure spending for our pipe and fittings business, as well as the decisions of distributors and dealers on the levels of inventory they carry, their views on product demand, their financial condition and the manner in which they choose to manage inventory risk, and customer decision on product selection based on price, aesthetics, and performance among other characteristics. Performance of our HIP businesses generally reflects the trends of building permits and housing starts in the New Residential Construction Survey by the U.S. Census Bureau and the Remodeling Market Index (RMI) provided by the National Association of Home Builders (the "NAHB") among others. We also expect that the preceding historically low level of residential housing construction that has resulted in an undersupply of existing housing and recent water infrastructure demands may benefit our HIP segment in the medium- to long-term. The ongoing geopolitical volatility in the Middle East has impacted the global supply and price of crude oil, contributing to an increase in diesel fuel prices. The increase in oil and diesel prices has resulted in higher raw material and freight costs globally. The resulting increase in inflation expectations contributed to higher borrowing costs which, together with the U.S. Federal Reserve's increase in interest rates in September 2026, have impacted the outlook for North American housing demand, which already faced supply constraints and affordability limitations. Several of our pipe and fittings customers chose to increase their inventory levels at the onset of the Middle East conflict to secure supply in anticipation of cost inflation. The resulting excess inventory contributed to lower pipe and fittings sales volume in the third quarter of 2026, which may continue until customer inventory levels normalize. A prolonged Middle East conflict and other uncertainties may create sustained inflationary pressures, which may in turn lead to additional interest rate increases that could continue to adversely affect demand for our products and our margins.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w:t>
      </w:r>
    </w:p>
    <w:p>
      <w:pPr>
        <w:spacing w:after="0" w:line="94"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Our PEM segment manufactures products such as ethylene, PE, chlor-alkali, chlorinated derivative products, ethylene dichloride, VCM and PVC, many of which are used in our integrated vinyls production chain. The chlor-alkali and petrochemical industries exhibit cyclical commodity characteristics, and margins are influenced by changes in the balance between global supply and demand and the resulting operating rates, the level of general economic activity, turnaround activities, and the price of raw materials. From 2022 through 2025, we experienced lower prices, increased supply, and weaker demand for most of our PEM products globally. The geopolitical volatility in the Middle East has created feedstock shortages and higher production costs for naphtha-based manufacturers in Asia, which drove up global prices for many performance and essential material products in 2026. PEM production in Europe continues to face difficult conditions, including weak demand, elevated energy costs, and increased import pressure from Asia. Our North American operations have been less affected by the higher global oil and feedstock costs resulting from the Middle East conflict and hold a competitive advantage due to lower natural gas and power costs, creating opportunities to increase price and margins while supplying domestic and global markets. The recent heightened volatility in global oil and feedstock prices is creating a very fluid environment that may impact our ability to maintain and/or further increase prices and margins. We remain cautious of headwinds impacting the profitability of our operations globally, including slower economic growth in China, margin compression, and trade disruptions from tariffs. Significant uncertainties remain regarding the duration of the war in Ukraine, the resolution of the Middle East conflict, the subsequent recovery period, return of supply-chain stability in the Middle East and potential broader demand destruction due to inflationary pressures.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right="180" w:firstLine="405"/>
        <w:spacing w:after="0" w:line="253"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one that purports to measure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operations, balance sheet or statement of cash flows (or equivalent statements) of the registrant; or (2) includes amounts, or is subject to adjustments that have the effect of including amounts, that are excluded from the most directly comparable measure so calculated and presented. In this report, we disclose non-GAAP financial measures, primarily earnings before interest, taxes, depreciation and amortization ("EBITDA") and Free Cash Flow. We define EBITDA as net income (loss) before interest expense, income taxes, depreciation and amortization. We define Free Cash Flow as net cash provided by operating activities less additions to property, plant and equipment. The non-GAAP financial measures described in this Form 10-Q are not substitutes for the GAAP measures of earnings and cash flows.</w:t>
      </w:r>
    </w:p>
    <w:p>
      <w:pPr>
        <w:spacing w:after="0" w:line="140"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EBITDA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and satisfy capital expenditure and working capital requirements, and EBITDA is commonly used by us and our investors to measure our ability to service indebtedness.</w:t>
      </w:r>
    </w:p>
    <w:p>
      <w:pPr>
        <w:spacing w:after="0" w:line="133"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Free Cash Flow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Free Cash Flow when reporting their results. We regularly evaluate our performance as compared to other companies in our industry that have different financing and capital structures and/or tax rates by using Free Cash Flow. Management also believes that Free Cash Flow is useful to investors and securities analysts to evaluate our liquidity, evaluate strategic investment, evaluate our stock buyback plan and measure our ability to meet our future debt service.</w:t>
      </w:r>
    </w:p>
    <w:p>
      <w:pPr>
        <w:spacing w:after="0" w:line="13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EBITDA and Free Cash Flow are not substitutes for the GAAP measures of net income (loss), income (loss) from operations and net cash provided by operating activities and are not necessarily measures of our ability to fund our cash needs. In addition, companies calculate EBITDA and Free Cash Flow differently and, therefore, EBITDA and Free Cash Flow as presented for us may not be comparable to EBITDA and Free Cash Flow reported by other companies. EBITDA has material limitations as a performance measure because it excludes interest expense, depreciation and amortization and income taxes. Free Cash Flow has material limitations as a performance measure because it only considers net cash provided by operating activities, and not net income (loss) or income (loss) from operations. For instance, it applies to the entire cost of capital expenditure in the period in which the property or equipment is acquired, rather than spreading it over several periods as is the case with net loss and loss from operations.</w:t>
      </w:r>
    </w:p>
    <w:p>
      <w:pPr>
        <w:spacing w:after="0" w:line="135"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Reconciliations of EBITDA to net income (loss), income (loss) from operations and net cash provided by operating activities, and Free Cash Flow to net cash provided by operating activities are included in the "Results of Operations" section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table below and descriptions that follow represent the consolidated results of operations of the Company for the three and nine months ended September 30, 2026 and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External Sales</w:t>
      </w:r>
    </w:p>
    <w:p>
      <w:pPr>
        <w:spacing w:after="0" w:line="92" w:lineRule="exact"/>
        <w:rPr>
          <w:sz w:val="20"/>
          <w:szCs w:val="20"/>
          <w:color w:val="auto"/>
        </w:rPr>
      </w:pPr>
    </w:p>
    <w:p>
      <w:pPr>
        <w:ind w:right="320" w:firstLine="405"/>
        <w:spacing w:after="0" w:line="258" w:lineRule="auto"/>
        <w:rPr>
          <w:sz w:val="20"/>
          <w:szCs w:val="20"/>
          <w:color w:val="auto"/>
        </w:rPr>
      </w:pPr>
      <w:r>
        <w:rPr>
          <w:rFonts w:ascii="Times New Roman" w:cs="Times New Roman" w:eastAsia="Times New Roman" w:hAnsi="Times New Roman"/>
          <w:sz w:val="18"/>
          <w:szCs w:val="18"/>
          <w:color w:val="auto"/>
        </w:rPr>
        <w:t>The table below presents net external sales on a disaggregated basis for our two principal operating segments. Housing Products net external sales primarily consist of sales of housing exterior and interior products, residential pipes and fittings and residential products utilizing PVC compounds. Infrastructure Products net external sales primarily consist of sales of infrastructure related pipes and fittings and infrastructure products utilizing compounds. Performance Materials net external sales primarily consist of sales of PVC, polyethylene and epoxy. Essential Materials net external sales primarily consist of sales of caustic soda, chlorine, styrene, and related derivative materials.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5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Housing Products</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29"/>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3"/>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Materials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23"/>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r>
      <w:tr>
        <w:trPr>
          <w:trHeight w:val="223"/>
        </w:trPr>
        <w:tc>
          <w:tcPr>
            <w:tcW w:w="5240" w:type="dxa"/>
            <w:vAlign w:val="bottom"/>
          </w:tcPr>
          <w:p>
            <w:pPr>
              <w:spacing w:after="0"/>
              <w:rPr>
                <w:sz w:val="19"/>
                <w:szCs w:val="19"/>
                <w:color w:val="auto"/>
              </w:rPr>
            </w:pPr>
          </w:p>
        </w:tc>
        <w:tc>
          <w:tcPr>
            <w:tcW w:w="9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(loss) from operations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Westlake Corporation</w:t>
            </w:r>
          </w:p>
        </w:tc>
        <w:tc>
          <w:tcPr>
            <w:tcW w:w="9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tcPr>
          <w:p>
            <w:pPr>
              <w:jc w:val="right"/>
              <w:ind w:right="694"/>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(2)</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0" w:lineRule="exact"/>
        <w:rPr>
          <w:sz w:val="20"/>
          <w:szCs w:val="20"/>
          <w:color w:val="auto"/>
        </w:rPr>
      </w:pPr>
    </w:p>
    <w:p>
      <w:pPr>
        <w:ind w:left="500" w:right="60" w:hanging="492"/>
        <w:spacing w:after="0" w:line="281" w:lineRule="auto"/>
        <w:tabs>
          <w:tab w:leader="none" w:pos="4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EBITDA to Net Income (Loss), Income (Loss) from Operations and Net Cash Provided by Operating Activities" below.</w:t>
      </w:r>
    </w:p>
    <w:p>
      <w:pPr>
        <w:spacing w:after="0" w:line="1" w:lineRule="exact"/>
        <w:rPr>
          <w:rFonts w:ascii="Times New Roman" w:cs="Times New Roman" w:eastAsia="Times New Roman" w:hAnsi="Times New Roman"/>
          <w:sz w:val="18"/>
          <w:szCs w:val="18"/>
          <w:color w:val="auto"/>
        </w:rPr>
      </w:pPr>
    </w:p>
    <w:p>
      <w:pPr>
        <w:ind w:left="500" w:right="120" w:hanging="492"/>
        <w:spacing w:after="0" w:line="282" w:lineRule="auto"/>
        <w:tabs>
          <w:tab w:leader="none" w:pos="4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Free Cash Flow to Net Cash Provided by Operating Activities" below.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4860" w:type="dxa"/>
        <w:tblCellMar>
          <w:top w:w="0" w:type="dxa"/>
          <w:left w:w="0" w:type="dxa"/>
          <w:bottom w:w="0" w:type="dxa"/>
          <w:right w:w="0" w:type="dxa"/>
        </w:tblCellMar>
      </w:tblPr>
      <w:tr>
        <w:trPr>
          <w:trHeight w:val="190"/>
        </w:trPr>
        <w:tc>
          <w:tcPr>
            <w:tcW w:w="32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3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0" w:type="dxa"/>
            <w:vAlign w:val="bottom"/>
          </w:tcPr>
          <w:p>
            <w:pPr>
              <w:spacing w:after="0"/>
              <w:rPr>
                <w:sz w:val="1"/>
                <w:szCs w:val="1"/>
                <w:color w:val="auto"/>
              </w:rPr>
            </w:pPr>
          </w:p>
        </w:tc>
      </w:tr>
      <w:tr>
        <w:trPr>
          <w:trHeight w:val="23"/>
        </w:trPr>
        <w:tc>
          <w:tcPr>
            <w:tcW w:w="1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62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62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0"/>
        </w:trPr>
        <w:tc>
          <w:tcPr>
            <w:tcW w:w="16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620" w:type="dxa"/>
            <w:vAlign w:val="bottom"/>
            <w:gridSpan w:val="2"/>
            <w:vMerge w:val="continue"/>
          </w:tcPr>
          <w:p>
            <w:pPr>
              <w:spacing w:after="0"/>
              <w:rPr>
                <w:sz w:val="16"/>
                <w:szCs w:val="16"/>
                <w:color w:val="auto"/>
              </w:rPr>
            </w:pPr>
          </w:p>
        </w:tc>
        <w:tc>
          <w:tcPr>
            <w:tcW w:w="16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60" w:right="740" w:hanging="242"/>
        <w:spacing w:after="0" w:line="247" w:lineRule="auto"/>
        <w:rPr>
          <w:sz w:val="20"/>
          <w:szCs w:val="20"/>
          <w:color w:val="auto"/>
        </w:rPr>
      </w:pPr>
      <w:r>
        <w:rPr>
          <w:rFonts w:ascii="Times New Roman" w:cs="Times New Roman" w:eastAsia="Times New Roman" w:hAnsi="Times New Roman"/>
          <w:sz w:val="18"/>
          <w:szCs w:val="18"/>
          <w:b w:val="1"/>
          <w:bCs w:val="1"/>
          <w:color w:val="auto"/>
        </w:rPr>
        <w:t>Net sales percentage change from prior-year period due to average sales price and volume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Company average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8"/>
              </w:rPr>
              <w:t>+1 %</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6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8"/>
              </w:rPr>
              <w:t>+9 %</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6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7"/>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8"/>
              </w:rPr>
              <w:t>+6 %</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6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596"/>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5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-807720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-1219200</wp:posOffset>
            </wp:positionV>
            <wp:extent cx="7132320"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40" w:space="720"/>
            <w:col w:w="52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to Net Income (Loss), Income (Loss) from Operations and Net Cash Provided by Operating Activities</w:t>
      </w:r>
    </w:p>
    <w:p>
      <w:pPr>
        <w:spacing w:after="0" w:line="94"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EBITDA to net income (loss), income (loss)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5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29"/>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5240" w:type="dxa"/>
            <w:vAlign w:val="bottom"/>
          </w:tcPr>
          <w:p>
            <w:pPr>
              <w:spacing w:after="0"/>
              <w:rPr>
                <w:sz w:val="24"/>
                <w:szCs w:val="24"/>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Provided by Operating Activities</w:t>
      </w:r>
    </w:p>
    <w:p>
      <w:pPr>
        <w:spacing w:after="0" w:line="9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Free Cash Flow to net cash provided by operating activities, the most directly comparable GAAP financial measure,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5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6"/>
              </w:rPr>
              <w:t>240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6"/>
              </w:rPr>
              <w:t>754</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98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555"/>
              <w:spacing w:after="0"/>
              <w:rPr>
                <w:sz w:val="20"/>
                <w:szCs w:val="20"/>
                <w:color w:val="auto"/>
              </w:rPr>
            </w:pPr>
            <w:r>
              <w:rPr>
                <w:rFonts w:ascii="Times New Roman" w:cs="Times New Roman" w:eastAsia="Times New Roman" w:hAnsi="Times New Roman"/>
                <w:sz w:val="18"/>
                <w:szCs w:val="18"/>
                <w:color w:val="auto"/>
              </w:rPr>
              <w:t>(514)</w:t>
            </w:r>
          </w:p>
        </w:tc>
      </w:tr>
      <w:tr>
        <w:trPr>
          <w:trHeight w:val="20"/>
        </w:trPr>
        <w:tc>
          <w:tcPr>
            <w:tcW w:w="5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58"/>
        </w:trPr>
        <w:tc>
          <w:tcPr>
            <w:tcW w:w="5240" w:type="dxa"/>
            <w:vAlign w:val="bottom"/>
          </w:tcPr>
          <w:p>
            <w:pPr>
              <w:spacing w:after="0"/>
              <w:rPr>
                <w:sz w:val="24"/>
                <w:szCs w:val="24"/>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For the third quarter ended September 30, 2026, net income attributable to Westlake Corporation was $6 million, or $0.05 per diluted share, on net sales of $2,981 million. This represents an increase in net income attributable to Westlake Corporation of $788 million, or $6.11 per diluted share, compared to the third quarter ended September 30, 2025, net loss attributable to Westlake Corporation of $782 million, or $6.06 per diluted share, on net sales of $2,838 million. Income from operations was $43 million for the quarter ended September 30, 2026, as compared to loss from operations of $766 million for the quarter ended September 30, 2025, an increase of $809 million. The increase in net income and income from operations was primarily due to higher sales prices for polyethylene, PVC resin, caustic soda and epoxy resin, higher sales volumes for PVC resin and chlor-alkali derivatives, and lower fuel costs. Additionally, the increase in net income and income from operations included contribution from the global compounding solutions businesses of the ACI/Perplastic Group (collectively, "ACI"), which was acquired in January 2026. These positive contributions were partially offset by lower building products, pipe and fittings and caustic soda sales volumes and higher distribution and ethane feedstock costs in the third quarter ended September 30, 2026, as compared to the third quarter ended September 30, 2025. The net loss and loss from operations for the third quarter ended September 30, 2025 were impacted due to a non-cash impairment charge of $727 million related to North American Chlorovinyls goodwill under the Performance and Essential Materials segment. The net income and income from operations for the third quarter ended September 30, 2026 were also negatively impacted by the recognition of a charge of $51 million related to the announced closure of the Cologne plant in Germany. The net income attributable to Westlake Corporation was also negatively affected by higher interest expense in the third quarter ended September 30, 2026, which resulted from higher average interest rate debt that was issued in November 2025, compared to the third quarter ended September 30, 2025.</w:t>
      </w:r>
    </w:p>
    <w:p>
      <w:pPr>
        <w:spacing w:after="0" w:line="142"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2026, net income attributable to Westlake Corporation was $97 million, or $0.75 per diluted share, on net sales of $8,904 million. This represents an increase in net income attributable to Westlake Corporation of $1,061 million, or $8.23 per diluted share, compared to the nine months ended September 30, 2025, net loss attributable to Westlake Corporation of $964 million, or $7.48 per diluted share, on net sales of $8,637 million. Income from operations was $235 million for the nine months ended September 30, 2026, as compared to loss from operations of $907 million for the nine months ended September 30, 2025, an increase of $1,142 million. The increase in net income and income from operations in the nine months ended September 30, 2026, as compared to the nine months ended September 30, 2025, was primarily due to higher sales prices for polyethylene, PVC resin, caustic soda and epoxy resin, higher sales volumes for pipe and fittings, ACI related compounds sales volumes, and lower ethane feedstock costs. These positive contributions were negatively impacted by higher distribution and fuel costs, the recognition of a $51 million charge in September 2026 related to the announced closure of the Cologne plant in Germany and a litigation charge of $67 million in March 2026 related to the settlement of certain PVC pipe antitrust litigation, lower pipe and fittings sales prices and lower sales volumes for several of our products. The net loss and loss from operations for the nine months ended September 30, 2025 were impacted by a non-cash impairment charge of $727 million related to North American Chlorovinyls goodwill. The net income attributable to Westlake Corporation was also negatively affected by higher interest expense in the nine months ended September 30, 2026, which resulted from higher average interest rate debt that was issued in November 2025, compared to the nine months ended September 30,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2026 and Nine Months Ended September 30, 2026, Compared with Third Quarter 2025 and Nine Months Ended September 30,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tables are in millions of dollars)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Net sales increased by $143 million in the third quarter of 2026 compared to the third quarter of 2025. Average sales prices for the third quarter of 2026 increased by 6% as compared to the third quarter of 2025, primarily because of higher sales prices for polyethylene, PVC resin, caustic soda and epoxy resin. Sales volumes decreased by 1% in the third quarter of 2026 as compared to the third quarter of 2025, primarily due to lower sales volumes for building products, pipe and fittings and caustic soda, partially offset by higher PVC resin and ACI related compounds sales volumes. These decreases in volumes were also negatively impacted by the closures of certain North American chlorovinyl facilities and a styrene facility in December 2025 as part of our footprint optimization actions.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Net sales increased by $267 million in the nine months ended September 30, 2026, compared to the nine months ended September 30, 2025. Average sales prices for the nine months ended September 30, 2026 increased by 4%, as compared to the nine months ended September 30, 2025, primarily as a result of higher sales prices for polyethylene, PVC resin, caustic soda and epoxy resin, partially offset by lower pipe and fittings sales prices. Sales volumes decreased by 1% in the nine months ended September 30, 2026, as compared to the nine months ended September 30, 2025, primarily due to lower sales volumes for building products, PVC resin, chlorine, caustic soda and styrene, which were partially offset by higher pipe and fittings and ACI related compounds sales volumes.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9"/>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6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increase in gross profit margin in the third quarter of 2026, as compared to the third quarter of 2025, was primarily due to higher sales prices for polyethylene, PVC resin, epoxy resin and caustic soda, and ACI related compounds sales volumes, and lower fuel costs. These positive contributions were partially offset by higher distribution and ethane feedstock costs.</w:t>
      </w:r>
    </w:p>
    <w:p>
      <w:pPr>
        <w:spacing w:after="0" w:line="12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gross profit margin in the nine months ended September 30, 2026, as compared to the nine months ended September 30, 2025, was primarily due to higher sales prices for polyethylene, PVC resin, caustic soda and epoxy resin, higher sales volumes for pipe and fittings and ACI related compounds, and lower ethane feedstock costs. These increases were negatively impacted by higher distribution and fuel costs, the recognition of a litigation charge of $67 million related to the settlement of certain PVC pipe antitrust litigation in March 2026 and lower sales volumes for several of our products.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in the third quarter of 2026 compared with the third quarter of 2025 and in the nine months ended September 30, 2026, compared with the nine months ended September 30, 2025, was primarily due to higher employee compensation, legal and other consulting and technology-related expenses. The higher selling, general and administrative expenses were also partially due to ACI and Wilhelmshaven plant related expenses.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468"/>
        </w:trPr>
        <w:tc>
          <w:tcPr>
            <w:tcW w:w="818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Amortization expenses related to intangible assets were consistent for all the periods presented.</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impairment of goodwill of $727 million represents a North American Chlorovinyls goodwill impairment charge recognized in the third quarter of 2025, within the Performance and Essential Materials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Restructuring, transaction and integration-related costs in the third quarter of 2026 primarily consisted of a $50 million charge in September 2026 related to the announced closure of the PVC facility in Cologne, Germany and costs related to the closures of certain North American chlorovinyl facilities and a styrene facility in December 2025, which are recognized over time. The restructuring, transaction and integration-related costs in the third quarter of 2025 primarily consisted of $15 million related to the closure of the Pernis facility located in the Netherlands.</w:t>
      </w:r>
    </w:p>
    <w:p>
      <w:pPr>
        <w:spacing w:after="0" w:line="12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Restructuring, transaction and integration-related costs in the nine months ended September 30, 2026, primarily consisted of a $50 million charge in September 2026 related to the announced closure of the PVC facility in Cologne, Germany and costs related to the closures of certain North American chlorovinyl facilities and a styrene facility in December 2025, which are recognized over time. The restructuring, transaction and integration-related costs in the nine months ended September 30, 2025, primarily consisted of $130 million related to the closure of the Pernis facility located in the Netherlands and $9 million related to the closure of the PVC resin unit at the Suzhou Huasu Plastics plant located in China.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Interest expense in the third quarter of 2026 as compared to the third quarter of 2025, and in the nine months ended September 30, 2026, as compared to the nine months ended September 30, 2025, was higher due to a higher average debt balance as a result of the issuance of $600 million aggregate principal amount of 5.550% 2035 Senior Notes and $600 million aggregate principal amount of 6.375% 2055 Senior Notes. The 5.550% 2035 Senior Notes and the 6.375% 2055 Senior Notes bear higher interest rates compared to the 3.60% 2026 Senior Notes, of which $254 million aggregate principal amount of the 3.60% 2026 Senior Notes were repurchased pursuant to a tender offer in November 2025 and the remaining $496 million aggregate principal amount of the 3.60% 2026 Senior Notes were redeemed in May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Other income, net for all the periods presented consisted primarily of interest income. Other income, net, was lower due to lower cash and cash equivalent balances in the 2026 periods compared to the 2025 periods.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23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effective income tax rate was lower in the third quarter of 2026, primarily due to lower income before income taxes, which increased the impact of the income tax benefits from the increase in foreign losses in jurisdictions with statutory rates above 21%, income attributable to noncontrolling interests, and U.S. federal research and development credits available to the Company. These tax benefits were partially offset by reserves for uncertain tax positions, withholding tax accruals on unremitted foreign earnings, non-deductible executive compensation, and state taxes. The effective income tax rate was higher in the third quarter of 2025 primarily due to income tax benefits on loss before income taxes that were limited by the non-deductible goodwill impairment charge associated with the North American Chlorovinyls reporting unit, a valuation allowance recorded against Westlake Epoxy Netherlands's net operating loss, and the impact of earnings mix across jurisdictions.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effective income tax rate in the nine months ended September 30, 2026, was higher primarily due to higher income before income taxes which reduced the impact of the income tax benefits from the increase in foreign losses in jurisdictions with statutory rates above 21%, income attributable to noncontrolling interests, and U.S. federal research and development credits available to the Company. These tax benefits were partially offset by reserves for uncertain tax positions, withholding tax accruals on unremitted foreign earnings, non-deductible executive compensation, and state taxes. The effective income tax rate was lower in the nine months ended September 30, 2025 primarily due to income tax benefits on loss before income taxes that were limited by the non-deductible goodwill impairment charge associated with the North American Chlorovinyls reporting unit, a valuation allowance recorded against Westlake Epoxy Netherlands's net operating loss, and the impact of earnings mix across jurisdictions.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 Segment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 Net Sales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Housing Products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Infrastructure Products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Housing Products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Infrastructure Products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Net sales for the HIP segment decreased by $4 million in the third quarter of 2026 compared to the third quarter of 2025. Total sales volumes for the HIP segment decreased by 2% in the third quarter of 2026 as compared to the third quarter of 2025, due to lower pipe and fittings and building products sales volumes that were partially offset by higher ACI related compounds sales volumes. Average sales prices for the HIP segment increased by 1% in the third quarter of 2026, as compared to the third quarter of 2025, primarily due to higher sales prices for building products. Lower sales of housing products in the third quarter of 2026 were primarily due to lower sales volumes for our roofing, siding and trim, building products. Higher sales of infrastructure products in the third quarter of 2026 were largely attributable to compounds sold by ACI, which was acquired in January 2026.</w:t>
      </w:r>
    </w:p>
    <w:p>
      <w:pPr>
        <w:spacing w:after="0" w:line="133"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Net sales for the HIP segment increased by $85 million in the nine months ended September 30, 2026, compared to the nine months ended September 30, 2025. Total sales volumes for the HIP segment increased by 4% in the nine months ended September 30, 2026, as compared to the nine months ended September 30, 2025, due to higher pipe and fittings and ACI compounds sales volumes, partially offset by lower building products sales volumes. Average sales prices for the HIP segment decreased by 1% in the nine months ended September 30, 2026, as compared to the nine months ended September 30, 2025, primarily due to lower sales prices for pipe and fittings, partially offset by higher building products sales prices. Lower sales of housing products in the nine months ended September 30, 2026, were primarily due to lower sales volumes for our roofing building products. Higher sales of infrastructure products in the nine months ended September 30, 2026 were largely attributable to compounds sold by ACI.</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5"/>
        </w:trPr>
        <w:tc>
          <w:tcPr>
            <w:tcW w:w="1020" w:type="dxa"/>
            <w:vAlign w:val="bottom"/>
            <w:tcBorders>
              <w:top w:val="single" w:sz="8" w:color="0000FF"/>
            </w:tcBorders>
          </w:tcPr>
          <w:p>
            <w:pPr>
              <w:spacing w:after="0"/>
              <w:rPr>
                <w:sz w:val="24"/>
                <w:szCs w:val="24"/>
                <w:color w:val="auto"/>
              </w:rPr>
            </w:pPr>
          </w:p>
        </w:tc>
        <w:tc>
          <w:tcPr>
            <w:tcW w:w="4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decrease in income from operations for the HIP segment in the third quarter of 2026, as compared to the third quarter of 2025, was primarily due to lower sales volumes for pipe and fittings and building products and an increase in distribution costs, which was partially offset by higher ACI related compounds sales volumes.</w:t>
      </w:r>
    </w:p>
    <w:p>
      <w:pPr>
        <w:spacing w:after="0" w:line="12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decrease in income from operations for the HIP segment in the nine months ended September 30, 2026, as compared to the nine months ended September 30, 2025, was primarily due to lower sales prices for pipe and fittings and lower sales volumes for building products. The HIP segment performance was also negatively impacted by the increase in distribution costs and recognition of a litigation charge of $67 million related to PVC pipe antitrust litigation settlement for certain plaintiffs in the first quarter of 2026. The impact of these decreases was partially offset by higher pipe and fittings and ACI related compounds sales volumes.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 Segment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 Net Sales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Materials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Essential Materials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Materials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Essential Materials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Net sales for the PEM segment increased by $147 million in the third quarter of 2026, compared to the third quarter of 2025. Average sales prices for the PEM segment increased by 9% in the third quarter of 2026, as compared to the third quarter of 2025, due to higher sales prices for polyethylene, PVC resin, caustic soda and epoxy resin. Sales volume for the PEM segment decreased by 1% in the third quarter of 2026, as compared to the third quarter of 2025, due to lower caustic soda and styrene sales volumes, offset by higher PVC resin and chlor-alkali derivative sales volumes. Lower styrene sales volumes were due to the closure of a styrene facility in December 2025 as part of our footprint optimization actions. The higher PVC resin sales volumes were driven by the PVC resin sales generated from the Wilhelmshaven plant, which was acquired in June 2026, and were partially offset by certain North American PVC resin plant closures in December 2025. The higher Performance Materials sales were primarily due to higher polyethylene and PVC resin sales prices, partially offset by the closure of certain North American chlorovinyl facilities in December 2025. The lower Essential Materials sales were primarily due to lower caustic soda sales and the closure of a styrene facility in December 2025.</w:t>
      </w:r>
    </w:p>
    <w:p>
      <w:pPr>
        <w:spacing w:after="0" w:line="134"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Net sales for the PEM segment increased by $182 million in the nine months ended September 30, 2026, compared to the nine months ended September 30, 2025. Average sales prices for the PEM segment increased by 7% in the nine months ended September 30, 2026, as compared to the nine months ended September 30, 2025, primarily due to higher polyethylene, PVC resin, caustic soda and epoxy resin sales prices. Sales volume for the PEM segment decreased by 4% in the nine months ended September 30, 2026, as compared to the nine months ended September 30, 2025, due to lower PVC resin, caustic soda, chlorine and styrene sales volumes. The higher Performance Materials sales were primarily due to higher polyethylene and epoxy resin and PVC resin sales from our recently acquired Wilhelmshaven plant, partially offset by lower PVC resin sales resulting from the closure of certain North American chlorovinyl facilities in December 2025. The lower Essential Materials sales were primarily due to lower chlorine sales and the closure of a styrene facility in December 2025.</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 ended September 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increase of $838 million in income from operations for the PEM segment in the third quarter of 2026 as compared to the third quarter of 2025, was due to higher sales prices for polyethylene, PVC resin, caustic soda and epoxy resin and lower fuel costs, partially offset by the recognition of a $51 million charge in September 2026 related to the announced closure of the PVC facility in Cologne, Germany and higher ethane feedstock costs in the third quarter of 2026, as compared to the third quarter of 2025. The loss from operations for the third quarter ended September 30, 2025, included a non-cash impairment charge of $727 million related to North American Chlorovinyls goodwill.</w:t>
      </w:r>
    </w:p>
    <w:p>
      <w:pPr>
        <w:spacing w:after="0" w:line="129"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The increase of $1,293 million in income from operations for the PEM segment for the nine months ended September 30, 2026, as compared to the nine months ended September 30, 2025, was primarily due to higher sales prices for polyethylene, PVC resin, caustic soda and epoxy resin, and higher sales volumes for polyethylene and lower ethane feedstock costs. This increase was partially offset by lower sales volumes for caustic soda and chlorine, recognition of a $51 million charge in September 2026 related to the announced closure of the PVC facility in Cologne, Germany, and higher fuel costs in the nine months ended September 30, 2026, as compared to the nine months ended September 30, 2025. The loss from operations for the nine months ended September 30, 2025 included a non-cash impairment charge of $727 million related to North American Chlorovinyls goodwill.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DISCUSSION FOR THE NINE MONTHS ENDED SEPTEMBER 30, 2026 AND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table are in millions of dollars)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31"/>
        </w:trPr>
        <w:tc>
          <w:tcPr>
            <w:tcW w:w="6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Change (unfavorable)</w:t>
            </w:r>
          </w:p>
        </w:tc>
      </w:tr>
      <w:tr>
        <w:trPr>
          <w:trHeight w:val="194"/>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favorable</w:t>
            </w:r>
          </w:p>
        </w:tc>
      </w:tr>
      <w:tr>
        <w:trPr>
          <w:trHeight w:val="21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6"/>
              </w:rPr>
              <w:t>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auto"/>
                <w:w w:val="96"/>
              </w:rPr>
              <w:t>379</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080" w:type="dxa"/>
            <w:vAlign w:val="bottom"/>
          </w:tcPr>
          <w:p>
            <w:pPr>
              <w:jc w:val="center"/>
              <w:ind w:left="557"/>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575"/>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597"/>
              <w:spacing w:after="0"/>
              <w:rPr>
                <w:sz w:val="20"/>
                <w:szCs w:val="20"/>
                <w:color w:val="auto"/>
              </w:rPr>
            </w:pPr>
            <w:r>
              <w:rPr>
                <w:rFonts w:ascii="Times New Roman" w:cs="Times New Roman" w:eastAsia="Times New Roman" w:hAnsi="Times New Roman"/>
                <w:sz w:val="18"/>
                <w:szCs w:val="18"/>
                <w:color w:val="auto"/>
                <w:w w:val="96"/>
              </w:rPr>
              <w:t>189</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rPr>
              <w:t>(504)</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$379 million favorable change in net cash flows from operating activities in the first nine months of 2026, as compared to the first nine months of 2025, was mainly due to higher income, as discussed under Results of Operations above, and a favorable change attributable to the significant cash outflow in connection with the Petro 1 ethylene facility turnaround in the first nine months of 2025 and favorable changes in working capital of $60 million. The favorable changes in working capital were primarily driven by the favorable changes in accounts receivable and accounts payable balances, partially offset by unfavorable changes in inventory balances. Changes in accounts payable and inventory balances were primarily due to an increase in feedstock and raw material costs during the nine months ended September 30, 2026, as compared to the nine months ended September 30,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Net cash used for investing activities in the first nine months of 2026, as compared to the first nine months of 2025, decreased by $189 million. The decrease was primarily due to a decrease in capital expenditures of $163 million, from $754 million in the first nine months of 2025 to $591 million in the first nine months of 2026, lower purchases of available-for-sale securities in the first nine months of 2026 as compared to our initial investments of $198 million in the first nine months of 2025. These decreases in cash outflows were partially offset by the payment of $171 million, net of cash acquired of $18 million, for the ACI and Wilhelmshaven plant acquisitions in the nine months ended September 30, 2026. Other investing activities during the nine months ended September 30, 2026 include the settlement of our foreign currency swap agreements, which did not have a material net impact on the cash used for investing activities.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Net cash used for financing activities during the first nine months of 2026 as compared to first nine months of 2025 increased by $504 million, which was primarily due to the redemption of $496 million aggregate principal amount of outstanding 3.60% 2026 Senior Notes in May 2026. Other financing activities in the first nine months of 2026 included the payment of $205 million of cash dividends, $32 million of cash distributions to noncontrolling interests and the repurchase of $30 million of our outstanding common stock for treasury. The financing activities in the first nine months of 2025 included $204 million payment of cash dividends, $33 million of cash distributions to noncontrolling interests and the repurchase of $30 million of our outstanding common stock for treasury.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9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available-for-sale securities, cash from operations, short-term borrowings under our credit agreement and our long-term financing.</w:t>
      </w:r>
    </w:p>
    <w:p>
      <w:pPr>
        <w:spacing w:after="0" w:line="10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There were no repurchases of common stock under the 2014 Program during the three months ended September 30, 2026. As of September 30, 2026, we had repurchased 10,285,404 shares of our common stock for an aggregate purchase price of approximately $727 million under the 2014 Program. Purchases under the 2014 Program may be made either through the open market or in privately negotiated transactions.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13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Westlake Chemical Partners LP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million. This Equity Distribution Agreement was amended on February 28, 2020 to reference a new shelf registration and subsequent renewals thereof for utilization under this agreement. No common units have been issued under this program as of September 30, 2026.</w:t>
      </w:r>
    </w:p>
    <w:p>
      <w:pPr>
        <w:spacing w:after="0" w:line="133"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believe that our sources of liquidity as described above are adequate to fund our normal operations and ongoing capital expenditures and turnaround activities. Funding of any large expansions or potential future acquisitions or the redemption of debt may necessitate, and therefore depend on, our ability to obtain additional financing in the future. We may not be able to access additional liquidity at favorable interest rates due to volatility of the commercial credit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Available-For-Sale Securities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2026, our cash and cash equivalents totaled $1,764 million.</w:t>
      </w:r>
    </w:p>
    <w:p>
      <w:pPr>
        <w:spacing w:after="0" w:line="171"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2026, our available-for-sale securities totaled $207 million. See Note 3 "Financial Instruments" to the unaudited consolidated financial statements appearing elsewhere in this Form 10-Q for a discussion of our available-for-sale securities.</w:t>
      </w:r>
    </w:p>
    <w:p>
      <w:pPr>
        <w:spacing w:after="0" w:line="108"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In addition to our cash and cash equivalents and available-for-sale securities, our credit agreement is available to provide liquidity as needed, as described under "Debt"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2026, the carrying value of our indebtedness totaled $5,064 million. See Note 8 "Long-Term Debt" to the unaudited consolidated financial statements appearing elsewhere in this Form 10-Q for more information on our long-term indebtedness, credit agreements and defined terms used in this section.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ability to make payments on our indebtedness and to fund planned capital expenditure will depend on our ability to generate cash in the future, which is subject to general economic, financial, competitive, legislative, regulatory and other factors that are beyond our control. Based on our current level of operations and unless we were to undertake a new expansion or large acquisition, we believe our available cash and available borrowings under our credit agreement will be adequate to meet our normal operating needs for the foreseeable future. In order to reduce future cash interest payments, as well as future amounts due at maturity or upon redemption, we or our affiliates may from time to time seek to redeem, repurchase or otherwise acquire our outstanding debt securities through open market purchases, privately negotiated transactions, tender offers or pursuant to the terms of such securities. Such acquisitions, if any, will be upon such terms and at such prices as we may determine, and will depend on prevailing market conditions, our liquidity requirements, contractual restrictions and other factors. The amounts involved in any such transactions, individually or in the aggregate, may be material.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9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holders of the 1.625% 2029 Senior Notes, the 3.375% 2030 Senior Notes, the 3.50% 2032 tax-exempt GO Zone Refunding Senior Notes, the 5.550% 2035 Senior Notes, the 2.875% 2041 Senior Notes, the 5.00% 2046 Senior Notes, the 4.375% 2047 Senior Notes, the 3.125% 2051 Senior Notes, the 6.375% 2055 Senior Notes and the 3.375% 2061 Senior Notes may require us to repurchase the notes at a price equal to 101% of their principal amount, plus accrued and unpaid interest to, but not including, the date of repurchase, upon the occurrence of both a "change of control" and, within 60 days of such change of control, a "below investment grade rating event" (as such terms are defined in the respective indentures governing these notes).</w:t>
      </w:r>
    </w:p>
    <w:p>
      <w:pPr>
        <w:spacing w:after="0" w:line="129" w:lineRule="exact"/>
        <w:rPr>
          <w:sz w:val="20"/>
          <w:szCs w:val="20"/>
          <w:color w:val="auto"/>
        </w:rPr>
      </w:pPr>
    </w:p>
    <w:p>
      <w:pPr>
        <w:jc w:val="both"/>
        <w:ind w:right="300" w:firstLine="405"/>
        <w:spacing w:after="0" w:line="258" w:lineRule="auto"/>
        <w:rPr>
          <w:sz w:val="20"/>
          <w:szCs w:val="20"/>
          <w:color w:val="auto"/>
        </w:rPr>
      </w:pPr>
      <w:r>
        <w:rPr>
          <w:rFonts w:ascii="Times New Roman" w:cs="Times New Roman" w:eastAsia="Times New Roman" w:hAnsi="Times New Roman"/>
          <w:sz w:val="18"/>
          <w:szCs w:val="18"/>
          <w:color w:val="auto"/>
        </w:rPr>
        <w:t>The indenture governing the 1.625% 2029 Senior Notes, the 3.375% 2030 Senior Notes, the 3.50% 2032 tax-exempt GO Zone Refunding Senior Notes, the 5.550% 2035 Senior Notes, the 2.875% 2041 Senior Notes, the 5.00% 2046 Senior Notes, the 4.375% 2047 Senior Notes, the 3.125% 2051 Senior Notes, the 6.375% 2055 Senior Notes and the 3.375% 2061 Senior Notes contains customary events of default and covenants that, among other things and subject to certain exceptions, restrict us and certain of our subsidiaries' ability to (1) incur certain secured indebtedness, (2) engage in certain sale and leaseback transactions and (3) consolidate, merge or transfer all or substantially all of our assets.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2026, we were in compliance with all of our long-term debt covenants.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On June 9, 2022, we entered into a $1.5 billion revolving credit facility that was scheduled to mature on June 9, 2027 (the "Credit Agreement"). On April 2, 2026, the Company entered into a credit agreement (the "New Credit Agreement"), by and among Westlake, the lenders from time-to-time party thereto (collectively, the "Lenders"), the issuing banks party thereto and JPMorgan Chase Bank, National Association, as administrative agent. Under the New Credit Agreement, the Lenders have committed to provide an unsecured revolving credit facility in an aggregate principal amount of up to $1.5 billion. The new revolving credit facility replaced Westlake's previous $1.5 billion revolving credit facility, which was terminated on April 2, 2026. The New Credit Agreement became effective on April 2, 2026 and borrowings thereunder will mature on April 2, 2031. The New Credit Agreement contains customary affirmative and negative covenants, including a quarterly total leverage ratio financial maintenance covenant ("financial covenant"). The calculation of the financial covenant includes, among other items, certain adjustments and add backs to debt and EBITDA definitions in the credit agreements.</w:t>
      </w:r>
    </w:p>
    <w:p>
      <w:pPr>
        <w:spacing w:after="0" w:line="13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2026, we had no borrowings or letters of credit outstanding, had borrowing availability of $1.5 billion under the New Credit Agreement, and were in compliance with the financial covenant under the New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Chemical Partners LP Credit Arrangements</w:t>
      </w:r>
    </w:p>
    <w:p>
      <w:pPr>
        <w:spacing w:after="0" w:line="108"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Our subsidiary, Westlake Polymers LLC, is the administrative agent to a $600 million revolving credit facility with Westlake Chemical OpCo LP ("OpCo") (the "OpCo Revolver"). As of September 30, 2026, outstanding borrowings under the credit facility totaled $23 million. On July 8, 2026, Westlake Polymers LLC entered into the Third Amendment (the "OpCo Revolver Amendment") to the OpCo Revolver. The OpCo Revolver Amendment extended the maturity date to July 11, 2031 and removed the 0.10% credit spread adjustment that had previously applied to the OpCo Revolver's Secured Overnight Financing Rate, as administered by the Federal Reserve Bank of New York ("SOFR") based interest rate. Borrowings under the OpCo Revolver now bear interest at a variable rate of either (a) SOFR plus the Applicable Margin or, if SOFR is no longer available, (b) the Alternate Base Rate plus the Applicable Margin minus 1.0%. The Applicable Margin under the OpCo Revolver is 1.75%.</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Our subsidiary, Westlake Chemical Finance Corporation, is the lender party to a $600 million revolving credit facility with Westlake Partners (the "MLP Revolver"). As of September 30, 2026, outstanding borrowings under the credit facility totaled $377 million. On July 8, 2026, Westlake Chemical Finance Corporation entered into the Fifth Amendment (the "MLP Revolver Amendment") to the MLP Revolver. The MLP Revolver Amendment extended the maturity date of the MLP Revolver to July 11, 2031 and removed the 0.10% credit spread adjustment that had previously applied to the SOFR-based interest rate. Borrowings under the MLP Revolver now bear interest at a variable rate of either (a) SOFR plus the Applicable Margin or, if SOFR is no longer available, (b) the Alternate Base Rate plus the Applicable Margin minus 1.0%. The Applicable Margin under the MLP Revolver varies between 1.75% and 2.75%, depending on Westlake Partners' Consolidated Leverage Ratio.</w:t>
      </w:r>
    </w:p>
    <w:p>
      <w:pPr>
        <w:spacing w:after="0" w:line="135" w:lineRule="exact"/>
        <w:rPr>
          <w:sz w:val="20"/>
          <w:szCs w:val="20"/>
          <w:color w:val="auto"/>
        </w:rPr>
      </w:pPr>
    </w:p>
    <w:p>
      <w:pPr>
        <w:ind w:right="40" w:firstLine="405"/>
        <w:spacing w:after="0" w:line="312" w:lineRule="auto"/>
        <w:rPr>
          <w:sz w:val="20"/>
          <w:szCs w:val="20"/>
          <w:color w:val="auto"/>
        </w:rPr>
      </w:pPr>
      <w:r>
        <w:rPr>
          <w:rFonts w:ascii="Times New Roman" w:cs="Times New Roman" w:eastAsia="Times New Roman" w:hAnsi="Times New Roman"/>
          <w:sz w:val="17"/>
          <w:szCs w:val="17"/>
          <w:color w:val="auto"/>
        </w:rPr>
        <w:t>We consolidate Westlake Partners and OpCo for financial reporting purposes as we have a controlling financial interest. As such, the revolving credit facilities described above between our subsidiaries and Westlake Partners and OpCo are eliminated from the financial statements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See Note 1 "Description of Business and Basis of Presentation" to the unaudited consolidated financial statements included in Item 1 of this Form 10-Q for a full description of recent accounting pronouncements, including expected date of adoption and estimated effect on results of operations and financial condition.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200" w:firstLine="405"/>
        <w:spacing w:after="0" w:line="274" w:lineRule="auto"/>
        <w:rPr>
          <w:sz w:val="20"/>
          <w:szCs w:val="20"/>
          <w:color w:val="auto"/>
        </w:rPr>
      </w:pPr>
      <w:r>
        <w:rPr>
          <w:rFonts w:ascii="Times New Roman" w:cs="Times New Roman" w:eastAsia="Times New Roman" w:hAnsi="Times New Roman"/>
          <w:sz w:val="17"/>
          <w:szCs w:val="17"/>
          <w:color w:val="auto"/>
        </w:rPr>
        <w:t>The Private Securities Litigation Reform Act of 1995 provides safe harbor provisions for forward-looking information. 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1" w:lineRule="exact"/>
        <w:rPr>
          <w:sz w:val="20"/>
          <w:szCs w:val="20"/>
          <w:color w:val="auto"/>
        </w:rPr>
      </w:pPr>
    </w:p>
    <w:p>
      <w:pPr>
        <w:ind w:left="900" w:hanging="325"/>
        <w:spacing w:after="0" w:line="260" w:lineRule="auto"/>
        <w:tabs>
          <w:tab w:leader="none" w:pos="89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ultimate timing, outcome and results of integrating the operations of any acquisitions and the ultimate outcome of our operating efficiencies applied to the products and services; the effects of any such acquisition, including the combined company's future financial condition, results of operations, strategies and plans; and expected synergies and other benefits from any such acquisition and our ability to realize such synergies and other benefits;</w:t>
      </w:r>
    </w:p>
    <w:p>
      <w:pPr>
        <w:spacing w:after="0" w:line="60" w:lineRule="exact"/>
        <w:rPr>
          <w:rFonts w:ascii="Arial" w:cs="Arial" w:eastAsia="Arial" w:hAnsi="Arial"/>
          <w:sz w:val="18"/>
          <w:szCs w:val="18"/>
          <w:color w:val="auto"/>
        </w:rPr>
      </w:pPr>
    </w:p>
    <w:p>
      <w:pPr>
        <w:ind w:left="900" w:right="14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the carrying value of our long-lived assets, including tangible assets and intangible assets with finite lives, and the fair value of our reporting units with goodwill;</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rates, margins, cash flows and demand for our products;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the price of crude oil, natural gas, ethane, housing starts and repair and remodeling activity;</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outlook, including elevated interest rates, inflation and possible recession;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conflict in the Middle East and other global conflicts on our operations and margins;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devaluation;</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our credit agreement;</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obligations under our debt instruments;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dividends;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capacity additions and expansions in the industries in which we compete;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projects;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 obligations, funding requirements and investment policies;</w:t>
      </w:r>
    </w:p>
    <w:p>
      <w:pPr>
        <w:spacing w:after="0" w:line="90" w:lineRule="exact"/>
        <w:rPr>
          <w:rFonts w:ascii="Times New Roman" w:cs="Times New Roman" w:eastAsia="Times New Roman" w:hAnsi="Times New Roman"/>
          <w:sz w:val="18"/>
          <w:szCs w:val="18"/>
          <w:color w:val="auto"/>
        </w:rPr>
      </w:pPr>
    </w:p>
    <w:p>
      <w:pPr>
        <w:ind w:left="900" w:right="300" w:hanging="325"/>
        <w:spacing w:after="0" w:line="26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54"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losses under our insurance policies;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 and settlements;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other effects of tariffs, antidumping duties, or other trade remedies imposed by the U.S. government or other governments, and any effects on trading relationships among the United States and other countries; and</w:t>
      </w:r>
    </w:p>
    <w:p>
      <w:pPr>
        <w:spacing w:after="0" w:line="40" w:lineRule="exact"/>
        <w:rPr>
          <w:rFonts w:ascii="Times New Roman" w:cs="Times New Roman" w:eastAsia="Times New Roman" w:hAnsi="Times New Roman"/>
          <w:sz w:val="18"/>
          <w:szCs w:val="18"/>
          <w:color w:val="auto"/>
        </w:rPr>
      </w:pPr>
    </w:p>
    <w:p>
      <w:pPr>
        <w:jc w:val="both"/>
        <w:ind w:left="900" w:right="580" w:hanging="325"/>
        <w:spacing w:after="0" w:line="261"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the closures of certain of our facilities, including the units located in Pernis, Netherlands, the PVC production plant located in Cologne, Germany, certain of the North American chlorovinyls production assets located in Louisiana and Mississippi, and the styrene production plant located in Louisiana (such as the timing and amount of recognition of related costs and our expectations regarding our financial performance following such closures).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in the 2025 Form 10-K and those described from time to time in our other filings with the SEC including, but not limited to, the following:</w:t>
      </w:r>
    </w:p>
    <w:p>
      <w:pPr>
        <w:spacing w:after="0" w:line="66"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and building products industries;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European and worldwide economies, including those due to political tensions and conflict in the Middle East, between Russia and Ukraine and elsewhere;</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103"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polyethylene and polyvinyl chloride due to initiatives such as recycling and customers seeking alternatives to polymers;</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other countries;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financial covenants;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103"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delays in turnaround activities, labor difficulties, transportation interruptions, spills and releases and other environmental risks);</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trade policies and tariffs;</w:t>
      </w:r>
    </w:p>
    <w:p>
      <w:pPr>
        <w:spacing w:after="0" w:line="103"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global trade, including as a result of tariffs, trade restrictions, retaliatory trade measures or the effect of such actions on trading relationships;</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 shutdowns;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Accordingly, product margins and the level of our profitability tend to fluctuate with changes in the business cycle. We try to protect against such instability through various business strategies. Our strategies include ethylene product feedstock flexibility and moving downstream into our other products where pricing is more stable. We use derivative instruments (including commodity swaps, futures, forwards and options) in certain instances to reduce price volatility risk on feedstocks and products. Based on our open derivative positions at September 30, 2026, a hypothetical $0.10 increase in the price of a gallon of ethane and a hypothetical $0.10 increase in the price of a million British thermal units of natural gas would not have a material impact on the income before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with respect to fixed and variable rate debt. At September 30, 2026, we had $5,144 million aggregate principal amount of fixed rate debt. We are subject to the risk of higher interest cost if and when this debt is refinanced. If interest rates were 1.0% higher at the time of refinancing, our annual interest expense would increase by approximately $51 million. Also, at September 30, 2026, we had $11 million principal amount of variable rate debt outstanding, which represents the tax-exempt waste disposal revenue bonds due 2027. We do not currently hedge our variable interest rate debt, but we may do so in the future. The weighted average variable interest rate for our variable rate debt of $11 million as of September 30, 2026 was 3.50%. A hypothetical 100 basis point increase in the average interest rate on our variable rate debt would not result in a material change in the interest expense.</w:t>
      </w:r>
    </w:p>
    <w:p>
      <w:pPr>
        <w:spacing w:after="0" w:line="135"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SOFR is used as a reference rate for borrowings under our New Credit Agreement. We did not have any SOFR-based borrowings outstanding at September 30,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0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cross-currency swaps or spot purchases. A forward exchange contract obligates us to exchange predetermined amounts of specified currencies at a stated exchange rate on a stated date. A foreign currency swap obligates us to make periodic payments in the local currency and receive periodic payments in our functional currency based on the notional amount of the instrument. The foreign currency swap agreements, designated as net investment hedges, with an aggregate notional value of €150 million matured on August 15, 2026. Upon maturity, the agreements settled through physical delivery of the contractual euro amounts by the Company and receipt of U.S. dollars from the counterparties. This resulted in total cash paid, on a U.S. dollar equivalent basis of $175 million and total cash received of $182 million.</w:t>
      </w:r>
    </w:p>
    <w:p>
      <w:pPr>
        <w:spacing w:after="0" w:line="134" w:lineRule="exact"/>
        <w:rPr>
          <w:sz w:val="20"/>
          <w:szCs w:val="20"/>
          <w:color w:val="auto"/>
        </w:rPr>
      </w:pPr>
    </w:p>
    <w:p>
      <w:pPr>
        <w:ind w:right="760" w:firstLine="405"/>
        <w:spacing w:after="0" w:line="266" w:lineRule="auto"/>
        <w:rPr>
          <w:sz w:val="20"/>
          <w:szCs w:val="20"/>
          <w:color w:val="auto"/>
        </w:rPr>
      </w:pPr>
      <w:r>
        <w:rPr>
          <w:rFonts w:ascii="Times New Roman" w:cs="Times New Roman" w:eastAsia="Times New Roman" w:hAnsi="Times New Roman"/>
          <w:sz w:val="18"/>
          <w:szCs w:val="18"/>
          <w:color w:val="auto"/>
        </w:rPr>
        <w:t>In July 2019, we completed the registered public offering of €700 million aggregate principal amount of the 1.625% 2029 Senior Notes. We designated this euro-denominated debt as a non-derivative net investment hedge of a portion of our net investments in euro functional-currency denominated subsidiaries to offset foreign currency fluctuations.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Securities Exchange Act of 1934 as of the end of the period covered by this report. Based upon that evaluation, our President and Chief Executive Officer and our Senior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2026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ind w:right="580" w:firstLine="405"/>
        <w:spacing w:after="0" w:line="266" w:lineRule="auto"/>
        <w:rPr>
          <w:sz w:val="20"/>
          <w:szCs w:val="20"/>
          <w:color w:val="auto"/>
        </w:rPr>
      </w:pPr>
      <w:r>
        <w:rPr>
          <w:rFonts w:ascii="Times New Roman" w:cs="Times New Roman" w:eastAsia="Times New Roman" w:hAnsi="Times New Roman"/>
          <w:sz w:val="18"/>
          <w:szCs w:val="18"/>
          <w:color w:val="auto"/>
        </w:rPr>
        <w:t>The 2025 Form 10-K, filed on February 26, 2026, contained a description of various legal proceedings in which we are involved. See Note 14 "Commitments and Contingencies" to the unaudited consolidated financial statements within this Quarterly Report on Form 10-Q for an updated description of certain of those proceedings, which information is incorporated by reference herein.</w:t>
      </w:r>
    </w:p>
    <w:p>
      <w:pPr>
        <w:spacing w:after="0" w:line="12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receive notices or inquiries from government entities regarding alleged violations of environmental laws and regulations pertaining to, among other things, the disposal, emission and storage of chemical substances, including hazardous wastes. For a description of certain environmental matters involving a governmental authority as a party to the proceedings and potential monetary sanctions that we believe could exceed $1 million (which is less than one percent of our current assets on a consolidated basis as of September 30, 2026), please see the 2025 Form 10-K and Note 14 "Commitments and Contingencies" to the unaudited consolidated financial statements within this Quarterly Report on Form 10-Q in addition to the following:</w:t>
      </w:r>
    </w:p>
    <w:p>
      <w:pPr>
        <w:spacing w:after="0" w:line="131"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Clean Air Act Investigation. </w:t>
      </w:r>
      <w:r>
        <w:rPr>
          <w:rFonts w:ascii="Times New Roman" w:cs="Times New Roman" w:eastAsia="Times New Roman" w:hAnsi="Times New Roman"/>
          <w:sz w:val="18"/>
          <w:szCs w:val="18"/>
          <w:color w:val="auto"/>
        </w:rPr>
        <w:t>To resolve alleged violations from 2020 to 2025 under the Risk Management Program and general duty clause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Clean Air Act at several of our facilities in Louisiana, the Environmental Protection Agency ("EPA") proposed a settlement and a draft consent agreement in May 2026. We are engaged in negotiations with the EPA. The resolution of this matter may involve a civil penalty in excess of $1 million.</w:t>
      </w:r>
    </w:p>
    <w:p>
      <w:pPr>
        <w:spacing w:after="0" w:line="121"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We are also involved in other legal proceedings incidental to the conduct of our business. From time to time, we receive notices or inquiries from government entities regarding alleged violations of environmental laws and regulations pertaining to, among other things, the disposal, emission and storage of chemical substances, including hazardous wastes. We do not believe that any of these legal proceedings will have a material adverse effect on our financial condition, results of operations or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2025 Form 10-K. The risks described in the report and in other documents that we file from time to time with the Securities and Exchange Commission could materially and adversely affect our business, results of operations, cash flow, liquidity or financial condition.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on our purchases of our common stock during the quarter ended September 30, 2026.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3"/>
              <w:spacing w:after="0" w:line="146"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80" w:type="dxa"/>
            <w:vAlign w:val="bottom"/>
          </w:tcPr>
          <w:p>
            <w:pPr>
              <w:jc w:val="center"/>
              <w:ind w:left="208"/>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ind w:right="103"/>
              <w:spacing w:after="0" w:line="137"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8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3"/>
              <w:spacing w:after="0" w:line="146"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103"/>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323,193,151</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2026</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323,193,151</w:t>
            </w:r>
          </w:p>
        </w:tc>
        <w:tc>
          <w:tcPr>
            <w:tcW w:w="0" w:type="dxa"/>
            <w:vAlign w:val="bottom"/>
          </w:tcPr>
          <w:p>
            <w:pPr>
              <w:spacing w:after="0"/>
              <w:rPr>
                <w:sz w:val="1"/>
                <w:szCs w:val="1"/>
                <w:color w:val="auto"/>
              </w:rPr>
            </w:pPr>
          </w:p>
        </w:tc>
      </w:tr>
      <w:tr>
        <w:trPr>
          <w:trHeight w:val="28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2026</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323,193,151</w:t>
            </w:r>
          </w:p>
        </w:tc>
        <w:tc>
          <w:tcPr>
            <w:tcW w:w="0" w:type="dxa"/>
            <w:vAlign w:val="bottom"/>
          </w:tcPr>
          <w:p>
            <w:pPr>
              <w:spacing w:after="0"/>
              <w:rPr>
                <w:sz w:val="1"/>
                <w:szCs w:val="1"/>
                <w:color w:val="auto"/>
              </w:rPr>
            </w:pPr>
          </w:p>
        </w:tc>
      </w:tr>
      <w:tr>
        <w:trPr>
          <w:trHeight w:val="190"/>
        </w:trPr>
        <w:tc>
          <w:tcPr>
            <w:tcW w:w="3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314</w:t>
            </w:r>
          </w:p>
        </w:tc>
        <w:tc>
          <w:tcPr>
            <w:tcW w:w="380" w:type="dxa"/>
            <w:vAlign w:val="bottom"/>
            <w:tcBorders>
              <w:top w:val="single" w:sz="8" w:color="CCEEFF"/>
            </w:tcBorders>
            <w:gridSpan w:val="2"/>
          </w:tcPr>
          <w:p>
            <w:pPr>
              <w:jc w:val="right"/>
              <w:ind w:right="9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77.52</w:t>
            </w:r>
          </w:p>
        </w:tc>
        <w:tc>
          <w:tcPr>
            <w:tcW w:w="100" w:type="dxa"/>
            <w:vAlign w:val="bottom"/>
            <w:tcBorders>
              <w:top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ind w:left="4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right="100" w:hanging="412"/>
        <w:spacing w:after="0" w:line="281" w:lineRule="auto"/>
        <w:tabs>
          <w:tab w:leader="none" w:pos="4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189 and 125 shares withheld in August 2026 and September 2026, respectively, in satisfaction of withholding taxes due upon the vesting of restricted stock units granted to our employees under the 2013 Omnibus Incentive Plan (as amended and restated effective May 11, 2023).</w:t>
      </w:r>
    </w:p>
    <w:p>
      <w:pPr>
        <w:spacing w:after="0" w:line="1" w:lineRule="exact"/>
        <w:rPr>
          <w:rFonts w:ascii="Times New Roman" w:cs="Times New Roman" w:eastAsia="Times New Roman" w:hAnsi="Times New Roman"/>
          <w:sz w:val="18"/>
          <w:szCs w:val="18"/>
          <w:color w:val="auto"/>
        </w:rPr>
      </w:pPr>
    </w:p>
    <w:p>
      <w:pPr>
        <w:ind w:left="460" w:right="20" w:hanging="412"/>
        <w:spacing w:after="0" w:line="272" w:lineRule="auto"/>
        <w:tabs>
          <w:tab w:leader="none" w:pos="44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There were no repurchases of common stock under the 2014 Program during the three months ended September 30, 2026. As of September 30, 2026, 10,285,404 shares of our common stock had been acquired at an aggregate purchase price of approximately $727 million under the 2014 Program. Transaction fees and commissions are not reported in the average price paid per share in the table above.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right="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September 30, 2026, no director or officer of the Company adopted or terminated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"Rule 10b5-1 trading arrangement" or "non-Rule 10b5-1 trading arrangement," as each term is defined in Item 408 of Regulation S-K.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32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0"/>
        </w:trPr>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4"/>
                <w:szCs w:val="24"/>
                <w:color w:val="auto"/>
              </w:rPr>
            </w:pPr>
          </w:p>
        </w:tc>
        <w:tc>
          <w:tcPr>
            <w:tcW w:w="9840" w:type="dxa"/>
            <w:vAlign w:val="bottom"/>
            <w:gridSpan w:val="16"/>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Restated Certificate of Incorporation of Westlake as filed with the Delaware Secretary of State on February 20, 2024 (incorporated by</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reference to Exhibit 3.1 to Westlake's Annual Report on Form 10-K for the year ended December 31, 2023 filed on February 22, 2024,</w:t>
              </w:r>
            </w:hyperlink>
          </w:p>
        </w:tc>
        <w:tc>
          <w:tcPr>
            <w:tcW w:w="4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00" w:type="dxa"/>
            <w:vAlign w:val="bottom"/>
            <w:gridSpan w:val="12"/>
          </w:tcPr>
          <w:p>
            <w:pPr>
              <w:spacing w:after="0" w:line="18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File No. 001-32260).</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9840" w:type="dxa"/>
            <w:vAlign w:val="bottom"/>
            <w:gridSpan w:val="16"/>
          </w:tcPr>
          <w:p>
            <w:pPr>
              <w:spacing w:after="0"/>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Amended and Restated Bylaws of Westlake (incorporated by reference to Westlake's Current Report on Form 8-K, filed on February 18,</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2022, File No. 001-32260).</w:t>
              </w:r>
            </w:hyperlink>
          </w:p>
        </w:tc>
        <w:tc>
          <w:tcPr>
            <w:tcW w:w="784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24"/>
                <w:szCs w:val="24"/>
                <w:color w:val="auto"/>
              </w:rPr>
            </w:pPr>
          </w:p>
        </w:tc>
        <w:tc>
          <w:tcPr>
            <w:tcW w:w="9840" w:type="dxa"/>
            <w:vAlign w:val="bottom"/>
            <w:gridSpan w:val="16"/>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Third Amendment to Amended and Restated Senior Unsecured Revolving Credit Agreement, by and among Westlake Chemical OpCo</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2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LP, Westlake Polymers LLC, and the lenders thereto, dated as of July 8, 2026 (incorporated by reference to Exhibit 10.2 to Westlake's</w:t>
              </w:r>
            </w:hyperlink>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32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Quarterly Report on Form 10-Q for the quarter ended June 30, 2026, filed on August 5, 2026, File No. 001-32260).</w:t>
              </w:r>
            </w:hyperlink>
          </w:p>
        </w:tc>
        <w:tc>
          <w:tcPr>
            <w:tcW w:w="1320" w:type="dxa"/>
            <w:vAlign w:val="bottom"/>
            <w:tcBorders>
              <w:top w:val="single" w:sz="8" w:color="0000FF"/>
            </w:tcBorders>
            <w:gridSpan w:val="2"/>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9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24"/>
                <w:szCs w:val="24"/>
                <w:color w:val="auto"/>
              </w:rPr>
            </w:pPr>
          </w:p>
        </w:tc>
        <w:tc>
          <w:tcPr>
            <w:tcW w:w="9840" w:type="dxa"/>
            <w:vAlign w:val="bottom"/>
            <w:gridSpan w:val="16"/>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Fifth Amendment to Senior Unsecured Revolving Credit Agreement, by and between Westlake Chemical Partners LP, as borrower, and</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6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Westlake Chemical Finance Corporation, as lender, dated as of July 8, 2026 (incorporated by reference to Exhibit 10.3 to Westlake's</w:t>
              </w:r>
            </w:hyperlink>
          </w:p>
        </w:tc>
        <w:tc>
          <w:tcPr>
            <w:tcW w:w="80" w:type="dxa"/>
            <w:vAlign w:val="bottom"/>
            <w:gridSpan w:val="2"/>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2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Quarterly Report on Form 10-Q for the quarter ended June 30, 2026, filed on August 5, 2026, File No. 001-32260).</w:t>
              </w:r>
            </w:hyperlink>
          </w:p>
        </w:tc>
        <w:tc>
          <w:tcPr>
            <w:tcW w:w="320" w:type="dxa"/>
            <w:vAlign w:val="bottom"/>
            <w:gridSpan w:val="7"/>
          </w:tcPr>
          <w:p>
            <w:pPr>
              <w:spacing w:after="0"/>
              <w:rPr>
                <w:sz w:val="15"/>
                <w:szCs w:val="15"/>
                <w:color w:val="auto"/>
              </w:rPr>
            </w:pPr>
          </w:p>
        </w:tc>
      </w:tr>
      <w:tr>
        <w:trPr>
          <w:trHeight w:val="291"/>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83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c>
          <w:tcPr>
            <w:tcW w:w="1540" w:type="dxa"/>
            <w:vAlign w:val="bottom"/>
            <w:gridSpan w:val="9"/>
          </w:tcPr>
          <w:p>
            <w:pPr>
              <w:spacing w:after="0"/>
              <w:rPr>
                <w:sz w:val="24"/>
                <w:szCs w:val="24"/>
                <w:color w:val="auto"/>
              </w:rPr>
            </w:pPr>
          </w:p>
        </w:tc>
      </w:tr>
      <w:tr>
        <w:trPr>
          <w:trHeight w:val="26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80" w:type="dxa"/>
            <w:vAlign w:val="bottom"/>
            <w:tcBorders>
              <w:top w:val="single" w:sz="8" w:color="0000FF"/>
            </w:tcBorders>
          </w:tcPr>
          <w:p>
            <w:pPr>
              <w:spacing w:after="0"/>
              <w:rPr>
                <w:sz w:val="22"/>
                <w:szCs w:val="22"/>
                <w:color w:val="auto"/>
              </w:rPr>
            </w:pPr>
          </w:p>
        </w:tc>
        <w:tc>
          <w:tcPr>
            <w:tcW w:w="4480" w:type="dxa"/>
            <w:vAlign w:val="bottom"/>
            <w:gridSpan w:val="11"/>
          </w:tcPr>
          <w:p>
            <w:pPr>
              <w:spacing w:after="0"/>
              <w:rPr>
                <w:sz w:val="22"/>
                <w:szCs w:val="22"/>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22"/>
                <w:szCs w:val="22"/>
                <w:color w:val="auto"/>
              </w:rPr>
            </w:pPr>
          </w:p>
        </w:tc>
        <w:tc>
          <w:tcPr>
            <w:tcW w:w="98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280" w:type="dxa"/>
            <w:vAlign w:val="bottom"/>
            <w:gridSpan w:val="2"/>
          </w:tcPr>
          <w:p>
            <w:pPr>
              <w:spacing w:after="0" w:line="20" w:lineRule="exact"/>
              <w:rPr>
                <w:sz w:val="1"/>
                <w:szCs w:val="1"/>
                <w:color w:val="auto"/>
              </w:rPr>
            </w:pPr>
          </w:p>
        </w:tc>
        <w:tc>
          <w:tcPr>
            <w:tcW w:w="6360" w:type="dxa"/>
            <w:vAlign w:val="bottom"/>
            <w:gridSpan w:val="6"/>
            <w:shd w:val="clear" w:color="auto" w:fill="0000FF"/>
          </w:tcPr>
          <w:p>
            <w:pPr>
              <w:spacing w:after="0" w:line="20" w:lineRule="exact"/>
              <w:rPr>
                <w:sz w:val="1"/>
                <w:szCs w:val="1"/>
                <w:color w:val="auto"/>
              </w:rPr>
            </w:pPr>
          </w:p>
        </w:tc>
        <w:tc>
          <w:tcPr>
            <w:tcW w:w="3480" w:type="dxa"/>
            <w:vAlign w:val="bottom"/>
            <w:gridSpan w:val="10"/>
          </w:tcPr>
          <w:p>
            <w:pPr>
              <w:spacing w:after="0" w:line="20" w:lineRule="exact"/>
              <w:rPr>
                <w:sz w:val="1"/>
                <w:szCs w:val="1"/>
                <w:color w:val="auto"/>
              </w:rPr>
            </w:pPr>
          </w:p>
        </w:tc>
      </w:tr>
      <w:tr>
        <w:trPr>
          <w:trHeight w:val="25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00" w:right="260" w:hanging="1274"/>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0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283" w:lineRule="exact"/>
        <w:rPr>
          <w:sz w:val="20"/>
          <w:szCs w:val="20"/>
          <w:color w:val="auto"/>
        </w:rPr>
      </w:pPr>
    </w:p>
    <w:p>
      <w:pPr>
        <w:ind w:left="20"/>
        <w:spacing w:after="0"/>
        <w:tabs>
          <w:tab w:leader="none" w:pos="600" w:val="left"/>
          <w:tab w:leader="none" w:pos="6340" w:val="left"/>
          <w:tab w:leader="none" w:pos="8260" w:val="left"/>
          <w:tab w:leader="none" w:pos="858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26035</wp:posOffset>
            </wp:positionV>
            <wp:extent cx="27260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p>
      <w:pPr>
        <w:ind w:left="8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86" w:lineRule="exact"/>
        <w:rPr>
          <w:sz w:val="20"/>
          <w:szCs w:val="20"/>
          <w:color w:val="auto"/>
        </w:rPr>
      </w:pPr>
    </w:p>
    <w:p>
      <w:pPr>
        <w:ind w:left="20"/>
        <w:spacing w:after="0"/>
        <w:tabs>
          <w:tab w:leader="none" w:pos="600" w:val="left"/>
          <w:tab w:leader="none" w:pos="6340" w:val="left"/>
          <w:tab w:leader="none" w:pos="8160" w:val="left"/>
          <w:tab w:leader="none" w:pos="852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ONATHAN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AKSHT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26035</wp:posOffset>
            </wp:positionV>
            <wp:extent cx="27260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Jonathan Baksht</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ind w:left="83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20"/>
          </w:cols>
          <w:pgMar w:left="320" w:top="118" w:right="8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144" w:lineRule="exact"/>
        <w:rPr>
          <w:sz w:val="20"/>
          <w:szCs w:val="20"/>
          <w:color w:val="auto"/>
        </w:rPr>
      </w:pPr>
    </w:p>
    <w:p>
      <w:pPr>
        <w:ind w:left="680" w:hanging="654"/>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Corporation (the "registrant");</w:t>
      </w:r>
    </w:p>
    <w:p>
      <w:pPr>
        <w:spacing w:after="0" w:line="130"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60" w:val="left"/>
          <w:tab w:leader="none" w:pos="8160" w:val="left"/>
          <w:tab w:leader="none" w:pos="848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26035</wp:posOffset>
            </wp:positionV>
            <wp:extent cx="27946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p>
      <w:pPr>
        <w:spacing w:after="0" w:line="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Baksht, certify that:</w:t>
      </w:r>
    </w:p>
    <w:p>
      <w:pPr>
        <w:spacing w:after="0" w:line="144" w:lineRule="exact"/>
        <w:rPr>
          <w:sz w:val="20"/>
          <w:szCs w:val="20"/>
          <w:color w:val="auto"/>
        </w:rPr>
      </w:pPr>
    </w:p>
    <w:p>
      <w:pPr>
        <w:ind w:left="680" w:hanging="654"/>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Corporation (the "registrant");</w:t>
      </w:r>
    </w:p>
    <w:p>
      <w:pPr>
        <w:spacing w:after="0" w:line="130"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600" w:val="left"/>
          <w:tab w:leader="none" w:pos="8040" w:val="left"/>
          <w:tab w:leader="none" w:pos="840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ONATHAN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AKSHT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Jonathan Baksht</w:t>
      </w:r>
    </w:p>
    <w:p>
      <w:pPr>
        <w:spacing w:after="0" w:line="3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ind w:left="8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Corporation (the "Company") on Form 10-Q for the fiscal quarter ended September 30, 2026 as filed with the Securities and Exchange Commission on the date hereof (the "Report"), I, Jean-Marc Gilson, President and Chief Executive Officer of the Company, and I, Jonathan Baksht, Senior Vice President and Chief Financial Officer of the Company, certify, to the best of our knowledge, pursuant to 18 U.S.C. §1350, as adopted pursuant to §906 of the Sarbanes-Oxley Act of 2002, that:</w:t>
      </w:r>
    </w:p>
    <w:p>
      <w:pPr>
        <w:spacing w:after="0" w:line="72" w:lineRule="exact"/>
        <w:rPr>
          <w:sz w:val="20"/>
          <w:szCs w:val="20"/>
          <w:color w:val="auto"/>
        </w:rPr>
      </w:pPr>
    </w:p>
    <w:p>
      <w:pPr>
        <w:ind w:left="560" w:hanging="30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00" w:val="left"/>
          <w:tab w:leader="none" w:pos="8140" w:val="left"/>
          <w:tab w:leader="none" w:pos="846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p>
      <w:pPr>
        <w:ind w:left="82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40" w:lineRule="exact"/>
        <w:rPr>
          <w:sz w:val="20"/>
          <w:szCs w:val="20"/>
          <w:color w:val="auto"/>
        </w:rPr>
      </w:pPr>
    </w:p>
    <w:p>
      <w:pPr>
        <w:ind w:left="20"/>
        <w:spacing w:after="0"/>
        <w:tabs>
          <w:tab w:leader="none" w:pos="600" w:val="left"/>
          <w:tab w:leader="none" w:pos="8040" w:val="left"/>
          <w:tab w:leader="none" w:pos="840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ONATHAN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AKSHT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Jonathan Baksht</w:t>
      </w:r>
    </w:p>
    <w:p>
      <w:pPr>
        <w:spacing w:after="0" w:line="3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ind w:left="8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815"/>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2"/>
    </w:lvl>
  </w:abstractNum>
  <w:abstractNum w:abstractNumId="6">
    <w:nsid w:val="140E0F76"/>
    <w:multiLevelType w:val="hybridMultilevel"/>
    <w:lvl w:ilvl="0">
      <w:lvlJc w:val="left"/>
      <w:lvlText w:val="%1."/>
      <w:numFmt w:val="decimal"/>
      <w:start w:val="13"/>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82" Type="http://schemas.openxmlformats.org/officeDocument/2006/relationships/hyperlink" Target="https://www.sec.gov/Archives/edgar/data/1262823/000126282324000014/exhibit3112312310-k.htm" TargetMode="External"/><Relationship Id="rId83" Type="http://schemas.openxmlformats.org/officeDocument/2006/relationships/hyperlink" Target="https://www.sec.gov/Archives/edgar/data/0001262823/000119312522046627/d270059dex32.htm" TargetMode="External"/><Relationship Id="rId84" Type="http://schemas.openxmlformats.org/officeDocument/2006/relationships/hyperlink" Target="https://www.sec.gov/Archives/edgar/data/1262823/000126282326000032/exhibit102_20260630.htm" TargetMode="External"/><Relationship Id="rId85" Type="http://schemas.openxmlformats.org/officeDocument/2006/relationships/hyperlink" Target="https://www.sec.gov/Archives/edgar/data/1262823/000126282326000032/exhibit103_2026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2026-11-04T08:29:17Z</dcterms:created>
  <dcterms:modified xsi:type="dcterms:W3CDTF">2026-11-04T08:29:17Z</dcterms:modified>
</cp:coreProperties>
</file>