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86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jc w:val="center"/>
        <w:ind w:right="-5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001-32260</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Westlake Chemical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364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3"/>
              </w:rPr>
              <w:t>Delaware</w:t>
            </w:r>
          </w:p>
        </w:tc>
        <w:tc>
          <w:tcPr>
            <w:tcW w:w="5900" w:type="dxa"/>
            <w:vAlign w:val="bottom"/>
            <w:gridSpan w:val="2"/>
          </w:tcPr>
          <w:p>
            <w:pPr>
              <w:jc w:val="center"/>
              <w:ind w:left="3378"/>
              <w:spacing w:after="0"/>
              <w:rPr>
                <w:sz w:val="20"/>
                <w:szCs w:val="20"/>
                <w:color w:val="auto"/>
              </w:rPr>
            </w:pPr>
            <w:r>
              <w:rPr>
                <w:rFonts w:ascii="Arial" w:cs="Arial" w:eastAsia="Arial" w:hAnsi="Arial"/>
                <w:sz w:val="18"/>
                <w:szCs w:val="18"/>
                <w:b w:val="1"/>
                <w:bCs w:val="1"/>
                <w:color w:val="auto"/>
                <w:w w:val="91"/>
              </w:rPr>
              <w:t>76-0346924</w:t>
            </w:r>
          </w:p>
        </w:tc>
        <w:tc>
          <w:tcPr>
            <w:tcW w:w="1160" w:type="dxa"/>
            <w:vAlign w:val="bottom"/>
          </w:tcPr>
          <w:p>
            <w:pPr>
              <w:spacing w:after="0"/>
              <w:rPr>
                <w:sz w:val="20"/>
                <w:szCs w:val="20"/>
                <w:color w:val="auto"/>
              </w:rPr>
            </w:pPr>
          </w:p>
        </w:tc>
      </w:tr>
      <w:tr>
        <w:trPr>
          <w:trHeight w:val="180"/>
        </w:trPr>
        <w:tc>
          <w:tcPr>
            <w:tcW w:w="364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2"/>
              </w:rPr>
              <w:t>(State or other jurisdiction of</w:t>
            </w:r>
          </w:p>
        </w:tc>
        <w:tc>
          <w:tcPr>
            <w:tcW w:w="5900" w:type="dxa"/>
            <w:vAlign w:val="bottom"/>
            <w:gridSpan w:val="2"/>
          </w:tcPr>
          <w:p>
            <w:pPr>
              <w:jc w:val="center"/>
              <w:ind w:left="3378"/>
              <w:spacing w:after="0"/>
              <w:rPr>
                <w:sz w:val="20"/>
                <w:szCs w:val="20"/>
                <w:color w:val="auto"/>
              </w:rPr>
            </w:pPr>
            <w:r>
              <w:rPr>
                <w:rFonts w:ascii="Arial" w:cs="Arial" w:eastAsia="Arial" w:hAnsi="Arial"/>
                <w:sz w:val="14"/>
                <w:szCs w:val="14"/>
                <w:b w:val="1"/>
                <w:bCs w:val="1"/>
                <w:color w:val="auto"/>
                <w:w w:val="96"/>
              </w:rPr>
              <w:t>(I.R.S. Employer</w:t>
            </w:r>
          </w:p>
        </w:tc>
        <w:tc>
          <w:tcPr>
            <w:tcW w:w="1160" w:type="dxa"/>
            <w:vAlign w:val="bottom"/>
          </w:tcPr>
          <w:p>
            <w:pPr>
              <w:spacing w:after="0"/>
              <w:rPr>
                <w:sz w:val="15"/>
                <w:szCs w:val="15"/>
                <w:color w:val="auto"/>
              </w:rPr>
            </w:pPr>
          </w:p>
        </w:tc>
      </w:tr>
      <w:tr>
        <w:trPr>
          <w:trHeight w:val="186"/>
        </w:trPr>
        <w:tc>
          <w:tcPr>
            <w:tcW w:w="364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3"/>
              </w:rPr>
              <w:t>incorporation or organization)</w:t>
            </w:r>
          </w:p>
        </w:tc>
        <w:tc>
          <w:tcPr>
            <w:tcW w:w="5900" w:type="dxa"/>
            <w:vAlign w:val="bottom"/>
            <w:gridSpan w:val="2"/>
          </w:tcPr>
          <w:p>
            <w:pPr>
              <w:jc w:val="center"/>
              <w:ind w:left="3378"/>
              <w:spacing w:after="0"/>
              <w:rPr>
                <w:sz w:val="20"/>
                <w:szCs w:val="20"/>
                <w:color w:val="auto"/>
              </w:rPr>
            </w:pPr>
            <w:r>
              <w:rPr>
                <w:rFonts w:ascii="Arial" w:cs="Arial" w:eastAsia="Arial" w:hAnsi="Arial"/>
                <w:sz w:val="14"/>
                <w:szCs w:val="14"/>
                <w:b w:val="1"/>
                <w:bCs w:val="1"/>
                <w:color w:val="auto"/>
                <w:w w:val="94"/>
              </w:rPr>
              <w:t>Identification No.)</w:t>
            </w:r>
          </w:p>
        </w:tc>
        <w:tc>
          <w:tcPr>
            <w:tcW w:w="1160" w:type="dxa"/>
            <w:vAlign w:val="bottom"/>
          </w:tcPr>
          <w:p>
            <w:pPr>
              <w:spacing w:after="0"/>
              <w:rPr>
                <w:sz w:val="16"/>
                <w:szCs w:val="16"/>
                <w:color w:val="auto"/>
              </w:rPr>
            </w:pPr>
          </w:p>
        </w:tc>
      </w:tr>
      <w:tr>
        <w:trPr>
          <w:trHeight w:val="318"/>
        </w:trPr>
        <w:tc>
          <w:tcPr>
            <w:tcW w:w="2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9"/>
              </w:rPr>
              <w:t>2801 Post Oak Boulevard, Suite 600</w:t>
            </w:r>
          </w:p>
        </w:tc>
        <w:tc>
          <w:tcPr>
            <w:tcW w:w="1160" w:type="dxa"/>
            <w:vAlign w:val="bottom"/>
          </w:tcPr>
          <w:p>
            <w:pPr>
              <w:spacing w:after="0"/>
              <w:rPr>
                <w:sz w:val="24"/>
                <w:szCs w:val="24"/>
                <w:color w:val="auto"/>
              </w:rPr>
            </w:pPr>
          </w:p>
        </w:tc>
      </w:tr>
      <w:tr>
        <w:trPr>
          <w:trHeight w:val="212"/>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7"/>
              </w:rPr>
              <w:t>Houston, Texas 77056</w:t>
            </w:r>
          </w:p>
        </w:tc>
        <w:tc>
          <w:tcPr>
            <w:tcW w:w="1160" w:type="dxa"/>
            <w:vAlign w:val="bottom"/>
          </w:tcPr>
          <w:p>
            <w:pPr>
              <w:spacing w:after="0"/>
              <w:rPr>
                <w:sz w:val="18"/>
                <w:szCs w:val="18"/>
                <w:color w:val="auto"/>
              </w:rPr>
            </w:pPr>
          </w:p>
        </w:tc>
      </w:tr>
      <w:tr>
        <w:trPr>
          <w:trHeight w:val="186"/>
        </w:trPr>
        <w:tc>
          <w:tcPr>
            <w:tcW w:w="2640" w:type="dxa"/>
            <w:vAlign w:val="bottom"/>
          </w:tcPr>
          <w:p>
            <w:pPr>
              <w:spacing w:after="0"/>
              <w:rPr>
                <w:sz w:val="16"/>
                <w:szCs w:val="16"/>
                <w:color w:val="auto"/>
              </w:rPr>
            </w:pPr>
          </w:p>
        </w:tc>
        <w:tc>
          <w:tcPr>
            <w:tcW w:w="69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160" w:type="dxa"/>
            <w:vAlign w:val="bottom"/>
          </w:tcPr>
          <w:p>
            <w:pPr>
              <w:spacing w:after="0"/>
              <w:rPr>
                <w:sz w:val="16"/>
                <w:szCs w:val="16"/>
                <w:color w:val="auto"/>
              </w:rPr>
            </w:pPr>
          </w:p>
        </w:tc>
      </w:tr>
      <w:tr>
        <w:trPr>
          <w:trHeight w:val="219"/>
        </w:trPr>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300" w:type="dxa"/>
            <w:vAlign w:val="bottom"/>
          </w:tcPr>
          <w:p>
            <w:pPr>
              <w:jc w:val="center"/>
              <w:ind w:right="918"/>
              <w:spacing w:after="0"/>
              <w:rPr>
                <w:sz w:val="20"/>
                <w:szCs w:val="20"/>
                <w:color w:val="auto"/>
              </w:rPr>
            </w:pPr>
            <w:r>
              <w:rPr>
                <w:rFonts w:ascii="Arial" w:cs="Arial" w:eastAsia="Arial" w:hAnsi="Arial"/>
                <w:sz w:val="18"/>
                <w:szCs w:val="18"/>
                <w:b w:val="1"/>
                <w:bCs w:val="1"/>
                <w:color w:val="auto"/>
                <w:w w:val="89"/>
              </w:rPr>
              <w:t>(713) 960-9111</w:t>
            </w: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6"/>
        </w:trPr>
        <w:tc>
          <w:tcPr>
            <w:tcW w:w="2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900" w:type="dxa"/>
            <w:vAlign w:val="bottom"/>
            <w:gridSpan w:val="2"/>
          </w:tcPr>
          <w:p>
            <w:pPr>
              <w:jc w:val="center"/>
              <w:ind w:right="25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6"/>
                <w:szCs w:val="16"/>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358"/>
        </w:trPr>
        <w:tc>
          <w:tcPr>
            <w:tcW w:w="2640" w:type="dxa"/>
            <w:vAlign w:val="bottom"/>
          </w:tcPr>
          <w:p>
            <w:pPr>
              <w:spacing w:after="0"/>
              <w:rPr>
                <w:sz w:val="24"/>
                <w:szCs w:val="24"/>
                <w:color w:val="auto"/>
              </w:rPr>
            </w:pPr>
          </w:p>
        </w:tc>
        <w:tc>
          <w:tcPr>
            <w:tcW w:w="690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160" w:type="dxa"/>
            <w:vAlign w:val="bottom"/>
          </w:tcPr>
          <w:p>
            <w:pPr>
              <w:spacing w:after="0"/>
              <w:rPr>
                <w:sz w:val="24"/>
                <w:szCs w:val="24"/>
                <w:color w:val="auto"/>
              </w:rPr>
            </w:pPr>
          </w:p>
        </w:tc>
      </w:tr>
      <w:tr>
        <w:trPr>
          <w:trHeight w:val="326"/>
        </w:trPr>
        <w:tc>
          <w:tcPr>
            <w:tcW w:w="3640" w:type="dxa"/>
            <w:vAlign w:val="bottom"/>
            <w:gridSpan w:val="2"/>
          </w:tcPr>
          <w:p>
            <w:pPr>
              <w:jc w:val="center"/>
              <w:ind w:left="1078"/>
              <w:spacing w:after="0"/>
              <w:rPr>
                <w:sz w:val="20"/>
                <w:szCs w:val="20"/>
                <w:color w:val="auto"/>
              </w:rPr>
            </w:pPr>
            <w:r>
              <w:rPr>
                <w:rFonts w:ascii="Arial" w:cs="Arial" w:eastAsia="Arial" w:hAnsi="Arial"/>
                <w:sz w:val="14"/>
                <w:szCs w:val="14"/>
                <w:b w:val="1"/>
                <w:bCs w:val="1"/>
                <w:color w:val="auto"/>
                <w:w w:val="89"/>
              </w:rPr>
              <w:t>Title of each class</w:t>
            </w:r>
          </w:p>
        </w:tc>
        <w:tc>
          <w:tcPr>
            <w:tcW w:w="7060" w:type="dxa"/>
            <w:vAlign w:val="bottom"/>
            <w:gridSpan w:val="3"/>
          </w:tcPr>
          <w:p>
            <w:pPr>
              <w:jc w:val="center"/>
              <w:ind w:left="221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364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0"/>
              </w:rPr>
              <w:t>Common Stock, $0.01 par value</w:t>
            </w:r>
          </w:p>
        </w:tc>
        <w:tc>
          <w:tcPr>
            <w:tcW w:w="5900" w:type="dxa"/>
            <w:vAlign w:val="bottom"/>
            <w:gridSpan w:val="2"/>
          </w:tcPr>
          <w:p>
            <w:pPr>
              <w:jc w:val="center"/>
              <w:ind w:left="3358"/>
              <w:spacing w:after="0"/>
              <w:rPr>
                <w:sz w:val="20"/>
                <w:szCs w:val="20"/>
                <w:color w:val="auto"/>
              </w:rPr>
            </w:pPr>
            <w:r>
              <w:rPr>
                <w:rFonts w:ascii="Arial" w:cs="Arial" w:eastAsia="Arial" w:hAnsi="Arial"/>
                <w:sz w:val="18"/>
                <w:szCs w:val="18"/>
                <w:b w:val="1"/>
                <w:bCs w:val="1"/>
                <w:color w:val="auto"/>
                <w:w w:val="90"/>
              </w:rPr>
              <w:t>New York Stock Exchange, Inc.</w:t>
            </w:r>
          </w:p>
        </w:tc>
        <w:tc>
          <w:tcPr>
            <w:tcW w:w="1160" w:type="dxa"/>
            <w:vAlign w:val="bottom"/>
          </w:tcPr>
          <w:p>
            <w:pPr>
              <w:spacing w:after="0"/>
              <w:rPr>
                <w:sz w:val="22"/>
                <w:szCs w:val="22"/>
                <w:color w:val="auto"/>
              </w:rPr>
            </w:pPr>
          </w:p>
        </w:tc>
      </w:tr>
      <w:tr>
        <w:trPr>
          <w:trHeight w:val="324"/>
        </w:trPr>
        <w:tc>
          <w:tcPr>
            <w:tcW w:w="2640" w:type="dxa"/>
            <w:vAlign w:val="bottom"/>
          </w:tcPr>
          <w:p>
            <w:pPr>
              <w:spacing w:after="0"/>
              <w:rPr>
                <w:sz w:val="24"/>
                <w:szCs w:val="24"/>
                <w:color w:val="auto"/>
              </w:rPr>
            </w:pPr>
          </w:p>
        </w:tc>
        <w:tc>
          <w:tcPr>
            <w:tcW w:w="690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16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5"/>
        </w:trPr>
        <w:tc>
          <w:tcPr>
            <w:tcW w:w="9540" w:type="dxa"/>
            <w:vAlign w:val="bottom"/>
            <w:gridSpan w:val="4"/>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954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1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28" w:lineRule="exact"/>
        <w:rPr>
          <w:sz w:val="24"/>
          <w:szCs w:val="24"/>
          <w:color w:val="auto"/>
        </w:rPr>
      </w:pPr>
    </w:p>
    <w:p>
      <w:pPr>
        <w:ind w:right="2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160" w:firstLine="40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smaller reporting company. See definitions of "large accelerated filer," "accelerated filer" and "smaller reporting company" in Rule 12b-2 of the Exchange Act:</w:t>
      </w:r>
    </w:p>
    <w:p>
      <w:pPr>
        <w:sectPr>
          <w:pgSz w:w="11900" w:h="16838" w:orient="portrait"/>
          <w:cols w:equalWidth="0" w:num="1">
            <w:col w:w="11380"/>
          </w:cols>
          <w:pgMar w:left="240" w:top="229" w:right="279" w:bottom="0" w:gutter="0" w:footer="0" w:header="0"/>
        </w:sectPr>
      </w:pPr>
    </w:p>
    <w:p>
      <w:pPr>
        <w:spacing w:after="0" w:line="116"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ind w:right="5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4">
            <w:col w:w="2740" w:space="720"/>
            <w:col w:w="1980" w:space="720"/>
            <w:col w:w="2020" w:space="720"/>
            <w:col w:w="2480"/>
          </w:cols>
          <w:pgMar w:left="240" w:top="229" w:right="279" w:bottom="0" w:gutter="0" w:footer="0" w:header="0"/>
          <w:type w:val="continuous"/>
        </w:sectPr>
      </w:pPr>
    </w:p>
    <w:p>
      <w:pPr>
        <w:jc w:val="center"/>
        <w:ind w:left="2720"/>
        <w:spacing w:after="0"/>
        <w:rPr>
          <w:sz w:val="20"/>
          <w:szCs w:val="20"/>
          <w:color w:val="auto"/>
        </w:rPr>
      </w:pPr>
      <w:r>
        <w:rPr>
          <w:rFonts w:ascii="Arial" w:cs="Arial" w:eastAsia="Arial" w:hAnsi="Arial"/>
          <w:sz w:val="16"/>
          <w:szCs w:val="16"/>
          <w:color w:val="auto"/>
        </w:rPr>
        <w:t>(Do not check if a smaller</w:t>
      </w:r>
    </w:p>
    <w:p>
      <w:pPr>
        <w:spacing w:after="0" w:line="46" w:lineRule="exact"/>
        <w:rPr>
          <w:sz w:val="24"/>
          <w:szCs w:val="24"/>
          <w:color w:val="auto"/>
        </w:rPr>
      </w:pPr>
    </w:p>
    <w:p>
      <w:pPr>
        <w:jc w:val="center"/>
        <w:ind w:left="2720"/>
        <w:spacing w:after="0"/>
        <w:rPr>
          <w:sz w:val="20"/>
          <w:szCs w:val="20"/>
          <w:color w:val="auto"/>
        </w:rPr>
      </w:pPr>
      <w:r>
        <w:rPr>
          <w:rFonts w:ascii="Arial" w:cs="Arial" w:eastAsia="Arial" w:hAnsi="Arial"/>
          <w:sz w:val="18"/>
          <w:szCs w:val="18"/>
          <w:color w:val="auto"/>
        </w:rPr>
        <w:t>reporting company)</w:t>
      </w:r>
    </w:p>
    <w:p>
      <w:pPr>
        <w:sectPr>
          <w:pgSz w:w="11900" w:h="16838" w:orient="portrait"/>
          <w:cols w:equalWidth="0" w:num="1">
            <w:col w:w="11380"/>
          </w:cols>
          <w:pgMar w:left="240" w:top="229" w:right="279" w:bottom="0" w:gutter="0" w:footer="0" w:header="0"/>
          <w:type w:val="continuous"/>
        </w:sectPr>
      </w:pP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5">
            <w:col w:w="7860" w:space="180"/>
            <w:col w:w="260" w:space="80"/>
            <w:col w:w="160" w:space="180"/>
            <w:col w:w="220" w:space="100"/>
            <w:col w:w="2340"/>
          </w:cols>
          <w:pgMar w:left="240" w:top="229" w:right="279" w:bottom="0" w:gutter="0" w:footer="0" w:header="0"/>
          <w:type w:val="continuous"/>
        </w:sectPr>
      </w:pPr>
    </w:p>
    <w:p>
      <w:pPr>
        <w:jc w:val="both"/>
        <w:ind w:right="380" w:firstLine="432"/>
        <w:spacing w:after="0" w:line="264" w:lineRule="auto"/>
        <w:rPr>
          <w:sz w:val="20"/>
          <w:szCs w:val="20"/>
          <w:color w:val="auto"/>
        </w:rPr>
      </w:pPr>
      <w:r>
        <w:rPr>
          <w:rFonts w:ascii="Arial" w:cs="Arial" w:eastAsia="Arial" w:hAnsi="Arial"/>
          <w:sz w:val="18"/>
          <w:szCs w:val="18"/>
          <w:color w:val="auto"/>
        </w:rPr>
        <w:t>The aggregate market value of the registrant's voting stock held by non-affiliates of the registrant on June 30, 2016, the end of the registrant's most recently completed second fiscal quarter, based on a closing price on June 30, 2016 of $42.92 on the New York Stock Exchange was approximately $1.6 billion.</w:t>
      </w:r>
    </w:p>
    <w:p>
      <w:pPr>
        <w:spacing w:after="0" w:line="73" w:lineRule="exact"/>
        <w:rPr>
          <w:sz w:val="24"/>
          <w:szCs w:val="24"/>
          <w:color w:val="auto"/>
        </w:rPr>
      </w:pPr>
    </w:p>
    <w:p>
      <w:pPr>
        <w:jc w:val="right"/>
        <w:ind w:left="440" w:right="3580"/>
        <w:spacing w:after="0" w:line="465" w:lineRule="auto"/>
        <w:rPr>
          <w:sz w:val="20"/>
          <w:szCs w:val="20"/>
          <w:color w:val="auto"/>
        </w:rPr>
      </w:pPr>
      <w:r>
        <w:rPr>
          <w:rFonts w:ascii="Arial" w:cs="Arial" w:eastAsia="Arial" w:hAnsi="Arial"/>
          <w:sz w:val="18"/>
          <w:szCs w:val="18"/>
          <w:color w:val="auto"/>
        </w:rPr>
        <w:t xml:space="preserve">There were 128,925,003 shares of the registrant's common stock outstanding as of February 15, 2017. </w:t>
      </w:r>
      <w:r>
        <w:rPr>
          <w:rFonts w:ascii="Arial" w:cs="Arial" w:eastAsia="Arial" w:hAnsi="Arial"/>
          <w:sz w:val="18"/>
          <w:szCs w:val="18"/>
          <w:b w:val="1"/>
          <w:bCs w:val="1"/>
          <w:color w:val="auto"/>
        </w:rPr>
        <w:t>DOCUMENTS INCORPORATED BY REFERENCE:</w:t>
      </w:r>
    </w:p>
    <w:p>
      <w:pPr>
        <w:sectPr>
          <w:pgSz w:w="11900" w:h="16838" w:orient="portrait"/>
          <w:cols w:equalWidth="0" w:num="1">
            <w:col w:w="11380"/>
          </w:cols>
          <w:pgMar w:left="240" w:top="229" w:right="279" w:bottom="0" w:gutter="0" w:footer="0" w:header="0"/>
          <w:type w:val="continuous"/>
        </w:sectPr>
      </w:pPr>
    </w:p>
    <w:bookmarkStart w:id="1" w:name="page2"/>
    <w:bookmarkEnd w:id="1"/>
    <w:p>
      <w:pPr>
        <w:ind w:firstLine="432"/>
        <w:spacing w:after="0" w:line="308" w:lineRule="auto"/>
        <w:rPr>
          <w:sz w:val="20"/>
          <w:szCs w:val="20"/>
          <w:color w:val="auto"/>
        </w:rPr>
      </w:pPr>
      <w:r>
        <w:rPr>
          <w:rFonts w:ascii="Arial" w:cs="Arial" w:eastAsia="Arial" w:hAnsi="Arial"/>
          <w:sz w:val="17"/>
          <w:szCs w:val="17"/>
          <w:color w:val="auto"/>
        </w:rPr>
        <w:t>Certain information required by Part II and Part III of this Form 10-K is incorporated by reference from the registrant's definitive Proxy Statement to be filed pursuant to Regulation 14A with respect to the registrant's 2017 Annual Meeting of Stockholders to be held on May 19, 2017.</w:t>
      </w:r>
    </w:p>
    <w:p>
      <w:pPr>
        <w:sectPr>
          <w:pgSz w:w="11900" w:h="16838" w:orient="portrait"/>
          <w:cols w:equalWidth="0" w:num="1">
            <w:col w:w="11360"/>
          </w:cols>
          <w:pgMar w:left="240" w:top="233" w:right="2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64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640" w:type="dxa"/>
            <w:vAlign w:val="bottom"/>
            <w:vMerge w:val="restart"/>
          </w:tcPr>
          <w:p>
            <w:pPr>
              <w:jc w:val="center"/>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6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9640" w:type="dxa"/>
            <w:vAlign w:val="bottom"/>
          </w:tcPr>
          <w:p>
            <w:pPr>
              <w:ind w:left="8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1A)</w:t>
              </w:r>
            </w:hyperlink>
          </w:p>
        </w:tc>
        <w:tc>
          <w:tcPr>
            <w:tcW w:w="9640" w:type="dxa"/>
            <w:vAlign w:val="bottom"/>
          </w:tcPr>
          <w:p>
            <w:pPr>
              <w:ind w:left="8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1B)</w:t>
              </w:r>
            </w:hyperlink>
          </w:p>
        </w:tc>
        <w:tc>
          <w:tcPr>
            <w:tcW w:w="9640" w:type="dxa"/>
            <w:vAlign w:val="bottom"/>
          </w:tcPr>
          <w:p>
            <w:pPr>
              <w:ind w:left="80"/>
              <w:spacing w:after="0"/>
              <w:rPr>
                <w:rFonts w:ascii="Arial" w:cs="Arial" w:eastAsia="Arial" w:hAnsi="Arial"/>
                <w:sz w:val="18"/>
                <w:szCs w:val="18"/>
                <w:color w:val="auto"/>
              </w:rPr>
            </w:pPr>
            <w:hyperlink w:anchor="page26">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w:t>
              </w:r>
            </w:hyperlink>
          </w:p>
        </w:tc>
        <w:tc>
          <w:tcPr>
            <w:tcW w:w="9640" w:type="dxa"/>
            <w:vAlign w:val="bottom"/>
          </w:tcPr>
          <w:p>
            <w:pPr>
              <w:ind w:left="80"/>
              <w:spacing w:after="0"/>
              <w:rPr>
                <w:rFonts w:ascii="Arial" w:cs="Arial" w:eastAsia="Arial" w:hAnsi="Arial"/>
                <w:sz w:val="18"/>
                <w:szCs w:val="18"/>
                <w:color w:val="auto"/>
              </w:rPr>
            </w:pPr>
            <w:hyperlink w:anchor="page26">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3)</w:t>
              </w:r>
            </w:hyperlink>
          </w:p>
        </w:tc>
        <w:tc>
          <w:tcPr>
            <w:tcW w:w="9640" w:type="dxa"/>
            <w:vAlign w:val="bottom"/>
          </w:tcPr>
          <w:p>
            <w:pPr>
              <w:ind w:left="80"/>
              <w:spacing w:after="0"/>
              <w:rPr>
                <w:rFonts w:ascii="Arial" w:cs="Arial" w:eastAsia="Arial" w:hAnsi="Arial"/>
                <w:sz w:val="18"/>
                <w:szCs w:val="18"/>
                <w:color w:val="auto"/>
              </w:rPr>
            </w:pPr>
            <w:hyperlink w:anchor="page28">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4)</w:t>
              </w:r>
            </w:hyperlink>
          </w:p>
        </w:tc>
        <w:tc>
          <w:tcPr>
            <w:tcW w:w="9640" w:type="dxa"/>
            <w:vAlign w:val="bottom"/>
          </w:tcPr>
          <w:p>
            <w:pPr>
              <w:ind w:left="80"/>
              <w:spacing w:after="0"/>
              <w:rPr>
                <w:rFonts w:ascii="Arial" w:cs="Arial" w:eastAsia="Arial" w:hAnsi="Arial"/>
                <w:sz w:val="18"/>
                <w:szCs w:val="18"/>
                <w:color w:val="auto"/>
              </w:rPr>
            </w:pPr>
            <w:hyperlink w:anchor="page28">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9640" w:type="dxa"/>
            <w:vAlign w:val="bottom"/>
          </w:tcPr>
          <w:p>
            <w:pPr>
              <w:ind w:left="80"/>
              <w:spacing w:after="0"/>
              <w:rPr>
                <w:rFonts w:ascii="Arial" w:cs="Arial" w:eastAsia="Arial" w:hAnsi="Arial"/>
                <w:sz w:val="18"/>
                <w:szCs w:val="18"/>
                <w:color w:val="auto"/>
              </w:rPr>
            </w:pPr>
            <w:hyperlink w:anchor="page28">
              <w:r>
                <w:rPr>
                  <w:rFonts w:ascii="Arial" w:cs="Arial" w:eastAsia="Arial" w:hAnsi="Arial"/>
                  <w:sz w:val="18"/>
                  <w:szCs w:val="18"/>
                  <w:color w:val="auto"/>
                </w:rPr>
                <w:t>Executive Officers of the Registrant</w:t>
              </w:r>
            </w:hyperlink>
          </w:p>
        </w:tc>
        <w:tc>
          <w:tcPr>
            <w:tcW w:w="9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5)</w:t>
              </w:r>
            </w:hyperlink>
          </w:p>
        </w:tc>
        <w:tc>
          <w:tcPr>
            <w:tcW w:w="9640" w:type="dxa"/>
            <w:vAlign w:val="bottom"/>
          </w:tcPr>
          <w:p>
            <w:pPr>
              <w:ind w:left="80"/>
              <w:spacing w:after="0"/>
              <w:rPr>
                <w:rFonts w:ascii="Arial" w:cs="Arial" w:eastAsia="Arial" w:hAnsi="Arial"/>
                <w:sz w:val="18"/>
                <w:szCs w:val="18"/>
                <w:color w:val="auto"/>
              </w:rPr>
            </w:pPr>
            <w:hyperlink w:anchor="page30">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640" w:type="dxa"/>
            <w:vAlign w:val="bottom"/>
          </w:tcPr>
          <w:p>
            <w:pPr>
              <w:ind w:left="220"/>
              <w:spacing w:after="0"/>
              <w:rPr>
                <w:rFonts w:ascii="Arial" w:cs="Arial" w:eastAsia="Arial" w:hAnsi="Arial"/>
                <w:sz w:val="18"/>
                <w:szCs w:val="18"/>
                <w:color w:val="auto"/>
              </w:rPr>
            </w:pPr>
            <w:hyperlink w:anchor="page30">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6)</w:t>
              </w:r>
            </w:hyperlink>
          </w:p>
        </w:tc>
        <w:tc>
          <w:tcPr>
            <w:tcW w:w="9640" w:type="dxa"/>
            <w:vAlign w:val="bottom"/>
          </w:tcPr>
          <w:p>
            <w:pPr>
              <w:ind w:left="80"/>
              <w:spacing w:after="0"/>
              <w:rPr>
                <w:rFonts w:ascii="Arial" w:cs="Arial" w:eastAsia="Arial" w:hAnsi="Arial"/>
                <w:sz w:val="18"/>
                <w:szCs w:val="18"/>
                <w:color w:val="auto"/>
              </w:rPr>
            </w:pPr>
            <w:hyperlink w:anchor="page32">
              <w:r>
                <w:rPr>
                  <w:rFonts w:ascii="Arial" w:cs="Arial" w:eastAsia="Arial" w:hAnsi="Arial"/>
                  <w:sz w:val="18"/>
                  <w:szCs w:val="18"/>
                  <w:color w:val="auto"/>
                </w:rPr>
                <w:t>Selected Financial and Operational Data</w:t>
              </w:r>
            </w:hyperlink>
          </w:p>
        </w:tc>
        <w:tc>
          <w:tcPr>
            <w:tcW w:w="9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7)</w:t>
              </w:r>
            </w:hyperlink>
          </w:p>
        </w:tc>
        <w:tc>
          <w:tcPr>
            <w:tcW w:w="9640" w:type="dxa"/>
            <w:vAlign w:val="bottom"/>
          </w:tcPr>
          <w:p>
            <w:pPr>
              <w:ind w:left="80"/>
              <w:spacing w:after="0"/>
              <w:rPr>
                <w:rFonts w:ascii="Arial" w:cs="Arial" w:eastAsia="Arial" w:hAnsi="Arial"/>
                <w:sz w:val="18"/>
                <w:szCs w:val="18"/>
                <w:color w:val="auto"/>
              </w:rPr>
            </w:pPr>
            <w:hyperlink w:anchor="page35">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7A)</w:t>
              </w:r>
            </w:hyperlink>
          </w:p>
        </w:tc>
        <w:tc>
          <w:tcPr>
            <w:tcW w:w="9640" w:type="dxa"/>
            <w:vAlign w:val="bottom"/>
          </w:tcPr>
          <w:p>
            <w:pPr>
              <w:ind w:left="80"/>
              <w:spacing w:after="0"/>
              <w:rPr>
                <w:rFonts w:ascii="Arial" w:cs="Arial" w:eastAsia="Arial" w:hAnsi="Arial"/>
                <w:sz w:val="18"/>
                <w:szCs w:val="18"/>
                <w:color w:val="auto"/>
              </w:rPr>
            </w:pPr>
            <w:hyperlink w:anchor="page51">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8)</w:t>
              </w:r>
            </w:hyperlink>
          </w:p>
        </w:tc>
        <w:tc>
          <w:tcPr>
            <w:tcW w:w="9640" w:type="dxa"/>
            <w:vAlign w:val="bottom"/>
          </w:tcPr>
          <w:p>
            <w:pPr>
              <w:ind w:left="80"/>
              <w:spacing w:after="0"/>
              <w:rPr>
                <w:rFonts w:ascii="Arial" w:cs="Arial" w:eastAsia="Arial" w:hAnsi="Arial"/>
                <w:sz w:val="18"/>
                <w:szCs w:val="18"/>
                <w:color w:val="auto"/>
              </w:rPr>
            </w:pPr>
            <w:hyperlink w:anchor="page52">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9)</w:t>
              </w:r>
            </w:hyperlink>
          </w:p>
        </w:tc>
        <w:tc>
          <w:tcPr>
            <w:tcW w:w="9640" w:type="dxa"/>
            <w:vAlign w:val="bottom"/>
          </w:tcPr>
          <w:p>
            <w:pPr>
              <w:ind w:left="80"/>
              <w:spacing w:after="0"/>
              <w:rPr>
                <w:rFonts w:ascii="Arial" w:cs="Arial" w:eastAsia="Arial" w:hAnsi="Arial"/>
                <w:sz w:val="18"/>
                <w:szCs w:val="18"/>
                <w:color w:val="auto"/>
              </w:rPr>
            </w:pPr>
            <w:hyperlink w:anchor="page121">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9A)</w:t>
              </w:r>
            </w:hyperlink>
          </w:p>
        </w:tc>
        <w:tc>
          <w:tcPr>
            <w:tcW w:w="9640" w:type="dxa"/>
            <w:vAlign w:val="bottom"/>
          </w:tcPr>
          <w:p>
            <w:pPr>
              <w:ind w:left="80"/>
              <w:spacing w:after="0"/>
              <w:rPr>
                <w:rFonts w:ascii="Arial" w:cs="Arial" w:eastAsia="Arial" w:hAnsi="Arial"/>
                <w:sz w:val="18"/>
                <w:szCs w:val="18"/>
                <w:color w:val="auto"/>
              </w:rPr>
            </w:pPr>
            <w:hyperlink w:anchor="page121">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115</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9B)</w:t>
              </w:r>
            </w:hyperlink>
          </w:p>
        </w:tc>
        <w:tc>
          <w:tcPr>
            <w:tcW w:w="9640" w:type="dxa"/>
            <w:vAlign w:val="bottom"/>
          </w:tcPr>
          <w:p>
            <w:pPr>
              <w:ind w:left="80"/>
              <w:spacing w:after="0"/>
              <w:rPr>
                <w:rFonts w:ascii="Arial" w:cs="Arial" w:eastAsia="Arial" w:hAnsi="Arial"/>
                <w:sz w:val="18"/>
                <w:szCs w:val="18"/>
                <w:color w:val="auto"/>
              </w:rPr>
            </w:pPr>
            <w:hyperlink w:anchor="page121">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115</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122">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10)</w:t>
              </w:r>
            </w:hyperlink>
          </w:p>
        </w:tc>
        <w:tc>
          <w:tcPr>
            <w:tcW w:w="9640" w:type="dxa"/>
            <w:vAlign w:val="bottom"/>
          </w:tcPr>
          <w:p>
            <w:pPr>
              <w:ind w:left="80"/>
              <w:spacing w:after="0"/>
              <w:rPr>
                <w:rFonts w:ascii="Arial" w:cs="Arial" w:eastAsia="Arial" w:hAnsi="Arial"/>
                <w:sz w:val="18"/>
                <w:szCs w:val="18"/>
                <w:color w:val="auto"/>
              </w:rPr>
            </w:pPr>
            <w:hyperlink w:anchor="page122">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w:t>
              </w:r>
            </w:hyperlink>
          </w:p>
        </w:tc>
        <w:tc>
          <w:tcPr>
            <w:tcW w:w="9640" w:type="dxa"/>
            <w:vAlign w:val="bottom"/>
          </w:tcPr>
          <w:p>
            <w:pPr>
              <w:ind w:left="80"/>
              <w:spacing w:after="0"/>
              <w:rPr>
                <w:rFonts w:ascii="Arial" w:cs="Arial" w:eastAsia="Arial" w:hAnsi="Arial"/>
                <w:sz w:val="18"/>
                <w:szCs w:val="18"/>
                <w:color w:val="auto"/>
              </w:rPr>
            </w:pPr>
            <w:hyperlink w:anchor="page122">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w:t>
              </w:r>
            </w:hyperlink>
          </w:p>
        </w:tc>
        <w:tc>
          <w:tcPr>
            <w:tcW w:w="9640" w:type="dxa"/>
            <w:vAlign w:val="bottom"/>
          </w:tcPr>
          <w:p>
            <w:pPr>
              <w:ind w:left="80"/>
              <w:spacing w:after="0"/>
              <w:rPr>
                <w:rFonts w:ascii="Arial" w:cs="Arial" w:eastAsia="Arial" w:hAnsi="Arial"/>
                <w:sz w:val="18"/>
                <w:szCs w:val="18"/>
                <w:color w:val="auto"/>
              </w:rPr>
            </w:pPr>
            <w:hyperlink w:anchor="page122">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13)</w:t>
              </w:r>
            </w:hyperlink>
          </w:p>
        </w:tc>
        <w:tc>
          <w:tcPr>
            <w:tcW w:w="9640" w:type="dxa"/>
            <w:vAlign w:val="bottom"/>
          </w:tcPr>
          <w:p>
            <w:pPr>
              <w:ind w:left="80"/>
              <w:spacing w:after="0"/>
              <w:rPr>
                <w:rFonts w:ascii="Arial" w:cs="Arial" w:eastAsia="Arial" w:hAnsi="Arial"/>
                <w:sz w:val="18"/>
                <w:szCs w:val="18"/>
                <w:color w:val="auto"/>
              </w:rPr>
            </w:pPr>
            <w:hyperlink w:anchor="page122">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14)</w:t>
              </w:r>
            </w:hyperlink>
          </w:p>
        </w:tc>
        <w:tc>
          <w:tcPr>
            <w:tcW w:w="9640" w:type="dxa"/>
            <w:vAlign w:val="bottom"/>
          </w:tcPr>
          <w:p>
            <w:pPr>
              <w:ind w:left="80"/>
              <w:spacing w:after="0"/>
              <w:rPr>
                <w:rFonts w:ascii="Arial" w:cs="Arial" w:eastAsia="Arial" w:hAnsi="Arial"/>
                <w:sz w:val="18"/>
                <w:szCs w:val="18"/>
                <w:color w:val="auto"/>
              </w:rPr>
            </w:pPr>
            <w:hyperlink w:anchor="page122">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116</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color w:val="auto"/>
              </w:rPr>
            </w:pPr>
            <w:hyperlink w:anchor="page123">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15)</w:t>
              </w:r>
            </w:hyperlink>
          </w:p>
        </w:tc>
        <w:tc>
          <w:tcPr>
            <w:tcW w:w="9640" w:type="dxa"/>
            <w:vAlign w:val="bottom"/>
          </w:tcPr>
          <w:p>
            <w:pPr>
              <w:ind w:left="80"/>
              <w:spacing w:after="0"/>
              <w:rPr>
                <w:rFonts w:ascii="Arial" w:cs="Arial" w:eastAsia="Arial" w:hAnsi="Arial"/>
                <w:sz w:val="18"/>
                <w:szCs w:val="18"/>
                <w:color w:val="auto"/>
              </w:rPr>
            </w:pPr>
            <w:hyperlink w:anchor="page123">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Industry and market data used throughout this Form 10-K were obtained through internal company research, surveys and studies conducted by unrelated third parties and publicly available industry and general publications, including information from IHS Chemical and Chemical Data, Inc. We have not independently verified market and industry data from external sources. While we believe internal company estimates are reliable and market definitions are appropriate, neither such estimates nor these definitions have been verified by any independent sources.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Form 10-K represent rated capacity of the facilities at December 31, 2016.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but excludes or includes amounts that would not be so adjusted in the most comparable GAAP measures. In this report, we disclose so-called non-GAAP financial measures, primarily earnings before interest, taxes, depreciation and amortization ("EBITDA"). EBITDA is calculated as net income before interest expense, income taxes, depreciation and amortization. The non-GAAP financial measures described in this Form 10-K are not substitutes for the GAAP measures of earnings and cash flows.</w:t>
      </w:r>
    </w:p>
    <w:p>
      <w:pPr>
        <w:spacing w:after="0" w:line="12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EBITDA is included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flows and is not necessarily a measure of our ability to fund our cash needs.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a vertically integrated global manufacturer and marketer of basic chemicals, vinyls, polymers and building products. Our products include some of the most widely used chemicals in the world, which are fundamental to many diverse consumer and industrial markets, including flexible and rigid packaging, automotive products, coatings, water treatment, refrigerants, residential and commercial construction as well as other durable and non-durable goods. We operate in two principal operating segments, Olefins and Vinyls. We are highly integrated along our olefins product chain with significant downstream integration into polyethylene and styrene monomer. We are also an integrated global producer of vinyls with substantial downstream integration into polyvinyl chloride ("PVC") building products.</w:t>
      </w:r>
    </w:p>
    <w:p>
      <w:pPr>
        <w:spacing w:after="0" w:line="13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began operations in 1986 after our first polyethylene plant, an Olefins segment business, near Lake Charles, Louisiana was acquired from Occidental Petroleum Corporation. We began our vinyls operations in 1990 with the acquisition of a vinyl chloride monomer ("VCM") plant in Calvert City, Kentucky from the Goodrich Corporation. In 1992, we commenced our Vinyls segment building products operations after acquiring three PVC pipe plants. Since 1986, we have grown rapidly into an integrated global producer of petrochemicals, vinyls, polymers and building products. We achieved this by acquiring existing plants or constructing new plants and completing numerous capacity or production line expansions. We regularly consider acquisitions and other internal and external growth opportunities that would be consistent with or complementary to our overall business strategy.</w:t>
      </w:r>
    </w:p>
    <w:p>
      <w:pPr>
        <w:spacing w:after="0" w:line="11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2014, we formed Westlake Chemical Partners LP ("Westlake Partners") to operate, acquire and develop ethylene production facilities and related assets. Also in 2014, Westlake Partners completed an initial public offering of 12,937,500 common units (the "Westlake Partners IPO"). As of February 15, 2017, Westlake Partners' assets consist of a 13.3% limited partner interest in Westlake Chemical OpCo LP ("OpCo"), as well as the general partner interest in OpCo. Prior to the Westlake Partners IPO, OpCo's assets were wholly owned by us. OpCo's assets include two ethylene production facilities at our olefins facility at our Lake Charles site, one ethylene production facility at our Calvert City site and a 200-mile common carrier ethylene pipeline that runs from Mont Belvieu, Texas to the Longview, Texas site, which includes our Longview polyethylene production facility. We retain an 86.7% limited partner interest in OpCo, a 52.2% limited partner interest in Westlake Partners (common and subordinated units), a general partner interest in Westlake Partners and incentive distribution rights. The operations of Westlake Partners are consolidated in our financial statements. We are party to certain agreements with Westlake Partners and OpCo whereby, among other things, OpCo sells us 95% of the ethylene it produces on a cost-plus basis that is expected to generate a fixed margin per pound of $0.10. We use this ethylene in the production processes of both our Olefins and Vinyls segments. For more information, see "—Olefins Business" and "—Vinyls Business" below.</w:t>
      </w:r>
    </w:p>
    <w:p>
      <w:pPr>
        <w:spacing w:after="0" w:line="1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August 31, 2016, we completed the acquisition of Axiall Corporation ("Axiall") for $33.00 per share in an all-cash transaction (the "Merger"), pursuant to the terms of the Agreement and Plan of Merger (the "Merger Agreement"), dated as of June 10, 2016, by and among Westlake, Axiall and Lagoon Merger Sub, Inc., a wholly-owned subsidiary of Westlake. Axiall is a manufacturer and international marketer of chemicals and building products, with manufacturing sites in North America. The combined company is the third-largest global chlor-alkali producer and the third-largest PVC producer in the world.</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benefit from highly integrated production facilities that allow us to process raw materials into higher value-added chemicals and building products. As of February 15, 2017, we (directly and through OpCo and our 95% and 60% owned Asian joint ventures) had 39.8 billion pounds per year of aggregate production capacity at numerous manufacturing sites in North America, Europe and Asia.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Olefins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Olefins are the basic building blocks used to create a wide variety of petrochemical products. We manufacture ethylene (through OpCo), polyethylene, styrene and associated co-products at our manufacturing facility in Lake Charles and polyethylene at our Longview facility. We have two ethylene plants, which are owned by OpCo, two polyethylene plants and one styrene monomer plant at our olefins facility at our Lake Charles site. We have three polyethylene plants and a specialty polyethylene wax plant at our Longview site.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2"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illustrates our production capacities at February 15, 2017 by principal product and the primary end uses of these materials: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Annual Capacity</w:t>
            </w:r>
          </w:p>
        </w:tc>
        <w:tc>
          <w:tcPr>
            <w:tcW w:w="120" w:type="dxa"/>
            <w:vAlign w:val="bottom"/>
          </w:tcPr>
          <w:p>
            <w:pPr>
              <w:spacing w:after="0"/>
              <w:rPr>
                <w:sz w:val="16"/>
                <w:szCs w:val="16"/>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End Uses</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(Millions of pounds)</w:t>
            </w:r>
          </w:p>
        </w:tc>
        <w:tc>
          <w:tcPr>
            <w:tcW w:w="5460" w:type="dxa"/>
            <w:vAlign w:val="bottom"/>
          </w:tcPr>
          <w:p>
            <w:pPr>
              <w:spacing w:after="0"/>
              <w:rPr>
                <w:sz w:val="22"/>
                <w:szCs w:val="22"/>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Ethylene </w:t>
            </w:r>
            <w:r>
              <w:rPr>
                <w:rFonts w:ascii="Arial" w:cs="Arial" w:eastAsia="Arial" w:hAnsi="Arial"/>
                <w:sz w:val="18"/>
                <w:szCs w:val="18"/>
                <w:color w:val="auto"/>
                <w:vertAlign w:val="superscript"/>
              </w:rPr>
              <w:t>(1)</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Polyethylene, ethylene dichloride ("EDC"), styrene,</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ethylene oxide/ethylene glycol</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Low-Density Polyethylene ("LDPE")</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High clarity packaging, shrink films, laundry and dry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cleaning bags, ice bags, frozen foods packaging, bakery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bags, coated paper board, cup stock, paper folding</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cartons, lids, closures and general purpose molding</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Linear Low-Density Polyethylene</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Heavy-duty films and bags, general purpose liners</w:t>
            </w:r>
          </w:p>
        </w:tc>
      </w:tr>
      <w:tr>
        <w:trPr>
          <w:trHeight w:val="23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("LLDPE")</w:t>
            </w: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Styrene</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Consumer disposables, packaging material, appliances,</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paints and coatings, resins and building materials</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capacity owned by OpCo.</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Ethylene. </w:t>
      </w:r>
      <w:r>
        <w:rPr>
          <w:rFonts w:ascii="Arial" w:cs="Arial" w:eastAsia="Arial" w:hAnsi="Arial"/>
          <w:sz w:val="16"/>
          <w:szCs w:val="16"/>
          <w:color w:val="auto"/>
        </w:rPr>
        <w:t>Ethylene is the world's most widely used petrochemical in terms of volume. It is the key building block used to produce a large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higher value-added chemicals including polyethylene, EDC, VCM and styrene. OpCo has the capacity to produce 3.0 billion pounds of ethylene per year at our olefins facility at our Lake Charles site, and we have the capability to consume all of OpCo's production that we purchase at Lake Charles to produce polyethylene and styrene monomer in our Olefins business and to produce VCM and EDC in our Vinyls business. OpCo also produces ethylene for our Vinyls segment at our Calvert City site, and substantially all of the ethylene we purchase from OpCo at Calvert City is used internally in the production of VCM. For OpCo's annual ethylene production that is purchased by us for our Vinyls business, see "Business—Vinyls Business." In addition, we (through OpCo) produce ethylene co-products including chemical grade propylene, crude butadiene, pyrolysis gasoline and hydrogen. We (through OpCo) sell our entire output of these co-products to external customers. OpCo completed an upgrade and capacity expansion of its Petro 1 ethylene unit at our Lake Charles site in the third quarter of 2016. The Petro 1 expansion project increased OpCo's ethylene capacity by approximately 250 million pounds annually.</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Polyethylene. </w:t>
      </w:r>
      <w:r>
        <w:rPr>
          <w:rFonts w:ascii="Arial" w:cs="Arial" w:eastAsia="Arial" w:hAnsi="Arial"/>
          <w:sz w:val="18"/>
          <w:szCs w:val="18"/>
          <w:color w:val="auto"/>
        </w:rPr>
        <w:t>Polyethylene, the world's most widely consumed polymer, is used in the manufacture of a wide variety of film, coatings and molded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applications primarily used in packaging. Polyethylene is generally classified as either LDPE, LLDPE or high-density polyethylene ("HDPE"). The density correlates to the relative stiffness of the end-use products. The difference between LDPE and LLDPE is molecular, and products produced from LLDPE, in general, have higher strength properties than products produced from LDPE. LDPE exhibits better clarity and other physical properties and is used in end products such as bread bags, dry cleaning bags, food wraps, milk carton coatings and snack food packaging. LLDPE is used for higher film strength applications such as stretch film and heavy duty sacks. HDPE is used to manufacture products such as grocery, merchandise and trash bags, rigid plastic containers, plastic closures and pipe.</w:t>
      </w:r>
    </w:p>
    <w:p>
      <w:pPr>
        <w:spacing w:after="0" w:line="135"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We are the leading producer of LDPE by capacity in North America and predominantly use the autoclave technology (versus tubular technology), which is capable of producing higher margin specialty polyethylene products. In 2016, our annual capacity of 1.5 billion pounds was available in numerous formulations to meet the needs of our diverse customer base. We also have the capacity to produce 1.1 billion pounds of LLDPE per year in various formulations. We produce LDPE and LLDPE at both Lake Charles and Longview. Our Lake Charles and Longview facilities also have the capability to produce HDPE. We sell polyethylene to external customers as a final product in pellet form.</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Styrene. </w:t>
      </w:r>
      <w:r>
        <w:rPr>
          <w:rFonts w:ascii="Arial" w:cs="Arial" w:eastAsia="Arial" w:hAnsi="Arial"/>
          <w:sz w:val="18"/>
          <w:szCs w:val="18"/>
          <w:color w:val="auto"/>
        </w:rPr>
        <w:t>Styrene is used to produce derivatives such as polystyrene, acrylonitrile butadiene styrene, unsaturated polyester and synthetic rubber.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are used in a number of applications including consumer disposables, food packaging, housewares, paints and coatings, building materials, tires and toys. We produce styrene at our Lake Charles plant, where we have the capacity to produce 570 million pounds of styrene per year, all of which is sold to external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Feedstocks</w:t>
      </w:r>
    </w:p>
    <w:p>
      <w:pPr>
        <w:spacing w:after="0" w:line="90"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are highly integrated along our olefins product chain. We (through OpCo) produce most of the ethylene required to produce our polyethylene and styrene. Ethylene can be produced from either petroleum liquid feedstocks, such as naphtha, condensates and gas oils, or from natural gas liquid feedstocks, such as ethane, propane and butane. Both of OpCo's Lake Charles ethylene plants use ethane as the primary feedstock. Pursuant to a feedstock supply agreement between us and OpCo, OpCo receives ethane feedstock at our olefins facility at our Lake Charles site through several pipelines from a variety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suppliers in Texas and Louisiana. We own a 50% interest in a 104-mile natural gas liquids pipeline from Mont Belvieu to our Lake Charles site. OpCo owns a 200-mile ethylene pipeline that runs from Mont Belvieu to our Longview site.</w:t>
      </w:r>
    </w:p>
    <w:p>
      <w:pPr>
        <w:spacing w:after="0" w:line="116"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addition to ethylene supplied by OpCo, we also acquire ethylene from third parties in order to supply a portion of our ethylene requirements. We acquire butene and hexene to manufacture polyethylene and benzene to manufacture styrene. We receive butene and hexene at the Lake Charles site and hexene at the Longview site via rail car from several suppliers. We receive benzene via barges, ships and pipeline pursuant to short-term arrangements. We purchase butene and hexene pursuant to multi-year contracts, some of which are renewable for an additional term subject to either party to the contract notifying the other party that it does not wish to renew the contract. We purchase electricity for our Lake Charles facility under long-term industrial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have an internal sales force that sells our products directly to our customers. Our polyethylene customers are some of the nation's largest producers of film and flexible packaging.</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and OpCo sell ethylene and ethylene co-products to external customers. OpCo's primary ethylene co-products are chemical grade propylene, crude butadiene, pyrolysis gasoline and hydrogen. Our and OpCo's sales are made under spot and long-term agreements.</w:t>
      </w:r>
    </w:p>
    <w:p>
      <w:pPr>
        <w:spacing w:after="0" w:line="11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storage agreements and exchange agreements that allow us and OpCo access to customers who are not directly connected to the pipeline system that we own. OpCo ships crude butadiene and pyrolysis gasoline by rail or truck. Additionally, we transport our polyethylene and styrene by rail or truck. Further, styrene can be transported by barge or ship.</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10% or more of net sales for the Olefins segment in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in which our Olefins business operates are highly competitive. We compete on the basis of customer service, product deliverability, quality, consistency, performance and price. Our competitors in the ethylene, polyethylene and styrene markets are some of the world's largest chemical companies, including Chevron Phillips Chemical Company, The Dow Chemical Company, ExxonMobil Chemical Company, INEOS Group Limited, LyondellBasell Industries, N.V. and NOVA Chemicals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Vinyls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Principal products in our integrated Vinyls segment include PVC, VCM, EDC, chlor-alkali (chlorine and caustic soda) and chlorinated derivative products and, through OpCo, ethylene. We also manufacture and sell building products fabricated from PVC, including siding, pipe, fittings, profiles, trim, mouldings, fence and decking products, window and door components and film and sheet products. We manage our integrated Vinyls production chain, from the basic chemicals to finished building products, to optimize product margins and capacity utilization. Our primary North American chemical manufacturing facilities are located in our Calvert City, Kentucky and Lake Charles, Plaquemine and Geismar, Louisiana sites. Our Calvert City site includes an ethylene plant, which is owned by OpCo, a chlor-alkali plant, a VCM plant and a PVC plant. Our Lake Charles site includes three chlor-alkali plants, two VCM plants, a chlorinated derivative products plant and cogeneration assets. Our Plaquemine site includes a chlor-alkali plant, a VCM plant, a PVC plant and cogeneration assets. Our Geismar site includes a chlor-alkali plant, a VCM plant and a PVC plant. We also produce chlorine, caustic soda, hydrogen and chlorinated derivative products at our Natrium, West Virginia, Longview, Washington and Beauharnois, Quebec facilities and PVC resin and PVC compounds at several facilities in Mississippi. Our European chemical manufacturing facilities are located in Germany and the United Kingdom and include two chlor-alkali plants, two VCM plants and six PVC plants. Our Asian manufacturing facilities are located near Shanghai, in the People's Republic of China, and in Kaohsiung, Taiwan, through our 95% and 60% owned joint ventures, respectively, and include a PVC plant, a PVC film and sheet plant, a chlor-alkali plant and a chlorinated derivative products plant. As of February 15, 2017, we owned 26 building product facilities.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our production capacities at February 15, 2017 by principal product and the end uses of these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Product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Annual Capacity </w:t>
            </w:r>
            <w:r>
              <w:rPr>
                <w:rFonts w:ascii="Arial" w:cs="Arial" w:eastAsia="Arial" w:hAnsi="Arial"/>
                <w:sz w:val="8"/>
                <w:szCs w:val="8"/>
                <w:b w:val="1"/>
                <w:bCs w:val="1"/>
                <w:color w:val="auto"/>
                <w:w w:val="97"/>
              </w:rPr>
              <w:t>(2)</w:t>
            </w:r>
          </w:p>
        </w:tc>
        <w:tc>
          <w:tcPr>
            <w:tcW w:w="120" w:type="dxa"/>
            <w:vAlign w:val="bottom"/>
          </w:tcPr>
          <w:p>
            <w:pPr>
              <w:spacing w:after="0"/>
              <w:rPr>
                <w:sz w:val="16"/>
                <w:szCs w:val="16"/>
                <w:color w:val="auto"/>
              </w:rPr>
            </w:pPr>
          </w:p>
        </w:tc>
        <w:tc>
          <w:tcPr>
            <w:tcW w:w="5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End Uses</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(Millions of pounds)</w:t>
            </w:r>
          </w:p>
        </w:tc>
        <w:tc>
          <w:tcPr>
            <w:tcW w:w="5460" w:type="dxa"/>
            <w:vAlign w:val="bottom"/>
          </w:tcPr>
          <w:p>
            <w:pPr>
              <w:spacing w:after="0"/>
              <w:rPr>
                <w:sz w:val="22"/>
                <w:szCs w:val="22"/>
                <w:color w:val="auto"/>
              </w:rPr>
            </w:pPr>
          </w:p>
        </w:tc>
      </w:tr>
      <w:tr>
        <w:trPr>
          <w:trHeight w:val="235"/>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Specialty PVC</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sealants, cable sheathing, medical</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applications and other applications</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Commodity PVC</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Construction materials including pipe, siding, profiles for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windows and doors, film and sheet for packaging</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and other applications</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VCM</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PVC</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Chlorine</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7,140</w:t>
            </w:r>
          </w:p>
        </w:tc>
        <w:tc>
          <w:tcPr>
            <w:tcW w:w="1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VCM, organic/inorganic chemicals, bleach</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Caustic Soda</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Pulp and paper, organic/inorganic chemicals,</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neutralization, alumina</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Chlorinated Derivative Products</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w w:val="99"/>
              </w:rPr>
              <w:t>Coatings, flavorants, films, refrigerants, water treatment applications,</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chemicals and pharmaceutical production</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Ethylene </w:t>
            </w:r>
            <w:r>
              <w:rPr>
                <w:rFonts w:ascii="Arial" w:cs="Arial" w:eastAsia="Arial" w:hAnsi="Arial"/>
                <w:sz w:val="18"/>
                <w:szCs w:val="18"/>
                <w:color w:val="auto"/>
                <w:vertAlign w:val="superscript"/>
              </w:rPr>
              <w:t>(3)</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23"/>
                <w:szCs w:val="23"/>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VCM</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Building Products</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Pipe: water and sewer, plumbing, irrigation, conduit;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fittings; profiles and foundation building products;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window and door components; fence and deck</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components; siding, trim and mouldings; film and sheet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EDC, a VCM intermediate product, is not included in the table.</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capacity related to our 95% and 60% owned Asian joint ventures.</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capacity owned by OpCo.</w:t>
      </w:r>
    </w:p>
    <w:p>
      <w:pPr>
        <w:spacing w:after="0" w:line="17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 xml:space="preserve">PVC and PVC Compounds. </w:t>
      </w:r>
      <w:r>
        <w:rPr>
          <w:rFonts w:ascii="Arial" w:cs="Arial" w:eastAsia="Arial" w:hAnsi="Arial"/>
          <w:sz w:val="18"/>
          <w:szCs w:val="18"/>
          <w:color w:val="auto"/>
        </w:rPr>
        <w:t>PVC, the world's third most widely used plastic, is an attractive alternative to traditional materials such as glass, metal,</w:t>
      </w:r>
      <w:r>
        <w:rPr>
          <w:rFonts w:ascii="Arial" w:cs="Arial" w:eastAsia="Arial" w:hAnsi="Arial"/>
          <w:sz w:val="18"/>
          <w:szCs w:val="18"/>
          <w:i w:val="1"/>
          <w:iCs w:val="1"/>
          <w:color w:val="auto"/>
        </w:rPr>
        <w:t xml:space="preserve"> </w:t>
      </w:r>
      <w:r>
        <w:rPr>
          <w:rFonts w:ascii="Arial" w:cs="Arial" w:eastAsia="Arial" w:hAnsi="Arial"/>
          <w:sz w:val="18"/>
          <w:szCs w:val="18"/>
          <w:color w:val="auto"/>
        </w:rPr>
        <w:t>wood, concrete and other plastic materials because of its versatility, durability and cost-competitiveness. PVC is produced from VCM, which is, in turn, made from chlorine and ethylene. PVC compounds are highly customized formulations that offer specific end-use properties based on customer-determined manufacturing specifications. PVC compounds are made by combining PVC resin with various additives in order to make either rigid and impact-resistant or soft and flexible compounds. The various compounds are then fabricated into end-products through extrusion, calendering, injection-molding or blow-molding. Flexible PVC compounds are used for wire and cable insulation, medical films and packaging, flooring, wall coverings, automotive interior and exterior trims and packaging. Rigid extrusion PVC compounds are commonly used in window and door profiles, vertical blinds and construction products, including pipe and siding. Injection-molding PVC compounds are used in specialty products such as computer housings and keyboards, appliance parts and bottles.</w:t>
      </w:r>
    </w:p>
    <w:p>
      <w:pPr>
        <w:spacing w:after="0" w:line="14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are the third-largest PVC producer in the world. We have the capacity to produce 5.7 billion pounds and 1.1 billion pounds of commodity and specialty PVC per year, respectively, at our various facilities globally. We use some of our North American-produced PVC internally in the production of our building products and PVC compounds. The remainder of our PVC, including the PVC produced at our European and Asian facilities, is sold to downstream fabricators and the international markets.</w:t>
      </w:r>
    </w:p>
    <w:p>
      <w:pPr>
        <w:spacing w:after="0" w:line="13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i w:val="1"/>
          <w:iCs w:val="1"/>
          <w:color w:val="auto"/>
        </w:rPr>
        <w:t xml:space="preserve">VCM. </w:t>
      </w:r>
      <w:r>
        <w:rPr>
          <w:rFonts w:ascii="Arial" w:cs="Arial" w:eastAsia="Arial" w:hAnsi="Arial"/>
          <w:sz w:val="17"/>
          <w:szCs w:val="17"/>
          <w:color w:val="auto"/>
        </w:rPr>
        <w:t>VCM is used to produce PVC, solvents and PVC-related products. We use ethylene and chlorine to produce VCM. We have the capacity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5.5 billion pounds and 1.5 billion pounds of VCM per year at our North American and European facilities, respectively. The majority of our VCM is used internally in our PVC operations. VCM not used internally is sold to other vinyl resins producers in domestic and international markets.</w:t>
      </w:r>
    </w:p>
    <w:p>
      <w:pPr>
        <w:spacing w:after="0" w:line="11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i w:val="1"/>
          <w:iCs w:val="1"/>
          <w:color w:val="auto"/>
        </w:rPr>
        <w:t xml:space="preserve">Chlorine and Caustic Soda. </w:t>
      </w:r>
      <w:r>
        <w:rPr>
          <w:rFonts w:ascii="Arial" w:cs="Arial" w:eastAsia="Arial" w:hAnsi="Arial"/>
          <w:sz w:val="16"/>
          <w:szCs w:val="16"/>
          <w:color w:val="auto"/>
        </w:rPr>
        <w:t>We combine salt and electricity to produce chlorine and caustic soda, commonly referred to as chlor-alkali, at our Lake</w:t>
      </w:r>
      <w:r>
        <w:rPr>
          <w:rFonts w:ascii="Arial" w:cs="Arial" w:eastAsia="Arial" w:hAnsi="Arial"/>
          <w:sz w:val="16"/>
          <w:szCs w:val="16"/>
          <w:i w:val="1"/>
          <w:iCs w:val="1"/>
          <w:color w:val="auto"/>
        </w:rPr>
        <w:t xml:space="preserve"> </w:t>
      </w:r>
      <w:r>
        <w:rPr>
          <w:rFonts w:ascii="Arial" w:cs="Arial" w:eastAsia="Arial" w:hAnsi="Arial"/>
          <w:sz w:val="16"/>
          <w:szCs w:val="16"/>
          <w:color w:val="auto"/>
        </w:rPr>
        <w:t>Charles, Plaquemine, Natrium, Calvert City, Geismar, Beauharnois, Longview, Gendorf, and Knapsack, Germany and Kaohsiung facilities. We are the third-largest chlor-alkali producer in the world. We use our chlorine production in our VCM and chlorinated derivative products plants. We currently have the capacity to supply all of our chlorine requirements internally. Any remaining chlorine is sold into the North American merchant chlorine market. Our caustic soda is sold to external customers who use it for, among other things, the production of pulp and paper, organic and inorganic chemicals and alumina.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32"/>
        <w:spacing w:after="0" w:line="235" w:lineRule="auto"/>
        <w:rPr>
          <w:sz w:val="20"/>
          <w:szCs w:val="20"/>
          <w:color w:val="auto"/>
        </w:rPr>
      </w:pPr>
      <w:r>
        <w:rPr>
          <w:rFonts w:ascii="Arial" w:cs="Arial" w:eastAsia="Arial" w:hAnsi="Arial"/>
          <w:sz w:val="18"/>
          <w:szCs w:val="18"/>
          <w:i w:val="1"/>
          <w:iCs w:val="1"/>
          <w:color w:val="auto"/>
        </w:rPr>
        <w:t xml:space="preserve">Chlorinated Derivative Products. </w:t>
      </w:r>
      <w:r>
        <w:rPr>
          <w:rFonts w:ascii="Arial" w:cs="Arial" w:eastAsia="Arial" w:hAnsi="Arial"/>
          <w:sz w:val="18"/>
          <w:szCs w:val="18"/>
          <w:color w:val="auto"/>
        </w:rPr>
        <w:t>Our chlorinated derivative products include ethyl chloride, perchloroethylene, trichloroethylene, tri-ethane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solvents,</w:t>
      </w:r>
      <w:r>
        <w:rPr>
          <w:rFonts w:ascii="Arial" w:cs="Arial" w:eastAsia="Arial" w:hAnsi="Arial"/>
          <w:sz w:val="18"/>
          <w:szCs w:val="18"/>
          <w:i w:val="1"/>
          <w:iCs w:val="1"/>
          <w:color w:val="auto"/>
        </w:rPr>
        <w:t xml:space="preserve"> </w:t>
      </w:r>
      <w:r>
        <w:rPr>
          <w:rFonts w:ascii="Arial" w:cs="Arial" w:eastAsia="Arial" w:hAnsi="Arial"/>
          <w:sz w:val="18"/>
          <w:szCs w:val="18"/>
          <w:color w:val="auto"/>
        </w:rPr>
        <w:t>VersaTRANS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solvents, calcium hypochlorite and hydrochloric acid ("HCL"). We have the capacity to produce 2.3 billion pounds of chlorinated derivative products per year, primarily at our Lake Charles, Natrium, Beauharnois and Longview facilities. The majority of our chlorinated derivative products is sold to external customers who use it for, among other things, refrigerants, water treatment applications, chemicals and pharmaceutical production, food processing, steel pickling and natural gas and oil production.</w:t>
      </w:r>
    </w:p>
    <w:p>
      <w:pPr>
        <w:spacing w:after="0" w:line="15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i w:val="1"/>
          <w:iCs w:val="1"/>
          <w:color w:val="auto"/>
        </w:rPr>
        <w:t xml:space="preserve">Ethylene. </w:t>
      </w:r>
      <w:r>
        <w:rPr>
          <w:rFonts w:ascii="Arial" w:cs="Arial" w:eastAsia="Arial" w:hAnsi="Arial"/>
          <w:sz w:val="17"/>
          <w:szCs w:val="17"/>
          <w:color w:val="auto"/>
        </w:rPr>
        <w:t>We use the ethylene we purchase that is produced by OpCo at Calvert City to produce VCM. OpCo's Calvert City ethylene plant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to produce approximately 20% of the ethylene required for our total VCM production. We obtain the remainder of the ethylene we need for our Vinyls business from OpCo's Lake Charles plant and from third party purchases. OpCo's Calvert City ethylene plant utilizes ethane feedstock and enables us, through OpCo, to enhance our vinyl chain integration. In January 2016, OpCo announced an expansion project to increase the ethylene capacity of its ethylene plant at our Calvert City facility. The expansion, along with other initiatives, is expected to increase ethylene capacity by approximately 100 million pounds annually and is targeted for completion during the first half of 2017.</w:t>
      </w:r>
    </w:p>
    <w:p>
      <w:pPr>
        <w:spacing w:after="0" w:line="124" w:lineRule="exact"/>
        <w:rPr>
          <w:sz w:val="20"/>
          <w:szCs w:val="20"/>
          <w:color w:val="auto"/>
        </w:rPr>
      </w:pPr>
    </w:p>
    <w:p>
      <w:pPr>
        <w:ind w:firstLine="432"/>
        <w:spacing w:after="0" w:line="220" w:lineRule="auto"/>
        <w:rPr>
          <w:sz w:val="20"/>
          <w:szCs w:val="20"/>
          <w:color w:val="auto"/>
        </w:rPr>
      </w:pPr>
      <w:r>
        <w:rPr>
          <w:rFonts w:ascii="Arial" w:cs="Arial" w:eastAsia="Arial" w:hAnsi="Arial"/>
          <w:sz w:val="18"/>
          <w:szCs w:val="18"/>
          <w:i w:val="1"/>
          <w:iCs w:val="1"/>
          <w:color w:val="auto"/>
        </w:rPr>
        <w:t xml:space="preserve">Building Products. </w:t>
      </w:r>
      <w:r>
        <w:rPr>
          <w:rFonts w:ascii="Arial" w:cs="Arial" w:eastAsia="Arial" w:hAnsi="Arial"/>
          <w:sz w:val="18"/>
          <w:szCs w:val="18"/>
          <w:color w:val="auto"/>
        </w:rPr>
        <w:t>Products made from PVC are used in construction materials ranging from water and sewer systems to home and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for siding, trim, mouldings, fence, deck, window and door systems. Our building products consist of two primary product groups: (i) exterior products, which includes siding, trim, mouldings, window profiles, fence and decking products; and (ii) PVC pipe, specialty PVC pipe and fittings. We manufacture and market exterior products under the Royal Building Products</w:t>
      </w:r>
      <w:r>
        <w:rPr>
          <w:rFonts w:ascii="Arial" w:cs="Arial" w:eastAsia="Arial" w:hAnsi="Arial"/>
          <w:sz w:val="25"/>
          <w:szCs w:val="25"/>
          <w:color w:val="auto"/>
          <w:vertAlign w:val="superscript"/>
        </w:rPr>
        <w:t>®</w:t>
      </w:r>
      <w:r>
        <w:rPr>
          <w:rFonts w:ascii="Arial" w:cs="Arial" w:eastAsia="Arial" w:hAnsi="Arial"/>
          <w:sz w:val="18"/>
          <w:szCs w:val="18"/>
          <w:color w:val="auto"/>
        </w:rPr>
        <w:t>, Celect Cellular Exteriors by Royal</w:t>
      </w:r>
      <w:r>
        <w:rPr>
          <w:rFonts w:ascii="Arial" w:cs="Arial" w:eastAsia="Arial" w:hAnsi="Arial"/>
          <w:sz w:val="25"/>
          <w:szCs w:val="25"/>
          <w:color w:val="auto"/>
          <w:vertAlign w:val="superscript"/>
        </w:rPr>
        <w:t>®</w:t>
      </w:r>
      <w:r>
        <w:rPr>
          <w:rFonts w:ascii="Arial" w:cs="Arial" w:eastAsia="Arial" w:hAnsi="Arial"/>
          <w:sz w:val="18"/>
          <w:szCs w:val="18"/>
          <w:color w:val="auto"/>
        </w:rPr>
        <w:t>, Zuri Premium Decking by Royal</w:t>
      </w:r>
      <w:r>
        <w:rPr>
          <w:rFonts w:ascii="Arial" w:cs="Arial" w:eastAsia="Arial" w:hAnsi="Arial"/>
          <w:sz w:val="25"/>
          <w:szCs w:val="25"/>
          <w:color w:val="auto"/>
          <w:vertAlign w:val="superscript"/>
        </w:rPr>
        <w:t>®</w:t>
      </w:r>
      <w:r>
        <w:rPr>
          <w:rFonts w:ascii="Arial" w:cs="Arial" w:eastAsia="Arial" w:hAnsi="Arial"/>
          <w:sz w:val="18"/>
          <w:szCs w:val="18"/>
          <w:color w:val="auto"/>
        </w:rPr>
        <w:t>, Royal S4S Trim Board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Exterior Portfolio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We manufacture and market specialty pipe and fittings, water, sewer, irrigation and conduit pipe products under the North American Pipe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Royal Building Products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We manufacture film and sheet at our Shanghai facility for both Asian and global markets. All of our building products are sold to external customers. The combined capacity of our 26 building products plants is 2.0 billion pounds per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highly integrated along our vinyls production chain. We produce most of the ethylene required by our Calvert City and Geismar facilities (through OpCo). Ethylene produced at OpCo's Calvert City facility utilizes ethane feedstock. We purchase the remainder of the ethylene required for our other North American and European facilities from a number of sources under various contracts. We have access to, and partially own, an ethylene pipeline in Germany. We have long-term leases on salt domes, from which we supply our salt brine requirements by pipeline, close to our Lake Charles chlor-alkali plant. The salt requirements for our Plaquemine and Natrium chlor-alkali plants are supplied internally from our salt domes. We purchase the salt required for our other chlor-alkali plants pursuant to long-term contracts. Electricity and steam for one of our Lake Charles facilities are produced by both on-site cogeneration units and through a toll arrangement with RS Cogen, LLC ("RS Cogen"), a joint venture in which we own a 50% interest. RS Cogen operates a process steam, natural gas-fired cogeneration facility adjacent to the site. Electricity and steam for the Plaquemine facility is supplied internally by our on-site cogeneration unit. A portion of our Natrium facility's electricity requirements is produced by our on-site generation unit, and the remainder purchased under an industrial contract. We purchase electricity for our remaining North American and European facilities under long-term industrial contracts. We purchase VCM for our Asian PVC plant on a contract and spot basis.</w:t>
      </w:r>
    </w:p>
    <w:p>
      <w:pPr>
        <w:spacing w:after="0" w:line="129"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North American and Asian facilities supply predominantly all of the PVC required for our building products plants. We may also purchase PVC at market prices, if needed. The remaining feedstocks for building products include pigments, fillers, stabilizers and other ingredients, which we purchase under short-term contracts based on prevailing market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have a dedicated sales force for our business, organized by product line and region. In addition, we rely on distributors to market products to smaller customers. We use some of our North American-produced PVC internally in the production of our building products and PVC compounds. The remainder of our PVC, including the PVC produced at our European and Asian facilities, is sold to downstream fabricators and the international markets. We have the capacity to use a majority of our chlorine internally to produce VCM and EDC, most of which, in turn, is used to produce PVC. We also use our chlorine internally to produce chlorinated derivative products. We sell the remainder of our chlorine and substantially all of our caustic soda production to external customers. The majority of our products are shipped from production facilities directly to the customer via pipeline, truck, rail, barge and/or ship. The remaining products are shipped from production facilities to third party chemical terminals and warehouses until being sold to customers.</w:t>
      </w:r>
    </w:p>
    <w:p>
      <w:pPr>
        <w:spacing w:after="0" w:line="11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are the second largest manufacturer of PVC pipe by capacity in the United States. We sell a majority of our siding, trim and mouldings products, PVC pipe, specialty PVC pipe and fittings, and film and sheet products through a combination of our internal sales force and manufacturer's representatives. In Canada, we operate 19 company-owned distribution branches that sell our vinyl siding and accessories and trim and mouldings products, as well as pipe and fittings. We also engage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advertising programs primarily directed at trade professionals that are intended to develop awareness and interest in our products. In addition, we display our building products at trade shows.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10% or more of net sales for the Vinyls segment in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The markets in which our Vinyls business operates are highly competitive. Competition in the vinyls market is based on product availability, product performance, customer service and price. We compete in the vinyls market with other producers including Formosa Plastics Corporation, Oxy Chem, LP, Shintech, Inc., Olin Corporation, Mexichem, S.A.B. de C.V., INOVYN ChlorVinyls Limited, VYNOVA Group and Kem One Group SAS.</w:t>
      </w:r>
    </w:p>
    <w:p>
      <w:pPr>
        <w:spacing w:after="0" w:line="9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Competition in the building products market is based on on-time delivery, product quality, product innovation, customer service, product consistency and price. We compete in the building products market with other producers and fabricators including Diamond Plastics Corporation, JM Eagle, Ply Gem Holdings, Inc., CertainTeed Corporation, IPEX Inc., Associated Materials LLC and CPG International, LLC.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As is common in our industry, we are subject to environmental laws and regulations related to the use, storage, handling, generation, transportation, emission, discharge, disposal and remediation of, and exposure to, hazardous and non-hazardous substances and wastes in all of the countries in which we do business. National, state or provincial and local standards regulating air, water and land quality affect substantially all of our manufacturing locations around the world. Compliance with such laws and regulations has required and will continue to require capital expenditures and increase operating costs.</w:t>
      </w:r>
    </w:p>
    <w:p>
      <w:pPr>
        <w:spacing w:after="0" w:line="10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It is our policy to comply with all environmental, health and safety requirements and to provide safe and environmentally sound workplaces for our employees. In some cases, compliance can be achieved only by incurring capital expenditures. In 2016, we made capital expenditures of $16.2 million related to environmental compliance. We estimate that we will make capital expenditures of approximately $27.0 million in 2017 and $33.0 million in 2018, respectively, related to environmental compliance.</w:t>
      </w:r>
    </w:p>
    <w:p>
      <w:pPr>
        <w:spacing w:after="0" w:line="13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See our discussion of our environmental matters contained in Item 1A, "Risk Factors" below, Item 3, "Legal Proceedings" below and Note 23 to our consolidated financial statements included in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we had approximately 8,870 employees in the following areas: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Number</w:t>
            </w: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Olefins segment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Vinyls segment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7,700</w:t>
            </w:r>
          </w:p>
        </w:tc>
      </w:tr>
      <w:tr>
        <w:trPr>
          <w:trHeight w:val="27"/>
        </w:trPr>
        <w:tc>
          <w:tcPr>
            <w:tcW w:w="10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r>
      <w:tr>
        <w:trPr>
          <w:trHeight w:val="27"/>
        </w:trPr>
        <w:tc>
          <w:tcPr>
            <w:tcW w:w="10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Approximately 34% of our employees are represented by labor unions, and all of these union employees are working under collective bargaining agreements that expire at various times through 2021. We have multiple collective bargaining agreements in Europe, Canada and the United States, with varying expiration years, covering different groups of our work force. There were no strikes, lockouts, or work stoppages in 2016 and we believe that our relationship with our employees and unions is open and positive.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Historically, our technology strategy has been to selectively acquire licenses from third-parties, as well as develop our own proprietary technology. Our selection process incorporates many factors, including the cost of the technology, the ability to meet our customers' requirements, raw material and energy consumption rates, product quality, capital costs, maintenance requirements and reliability. Most of the technology licensed from third-party providers is perpetual and has been paid in full. We own an intellectual property portfolio developed from focused research in both process and product technology. After acquiring or developing a technology, we devote considerable effort to effectively employ the technology and further its development, with a focus towards continuous improvement of our competitive positions.</w:t>
      </w:r>
    </w:p>
    <w:p>
      <w:pPr>
        <w:spacing w:after="0" w:line="139" w:lineRule="exact"/>
        <w:rPr>
          <w:sz w:val="20"/>
          <w:szCs w:val="20"/>
          <w:color w:val="auto"/>
        </w:rPr>
      </w:pPr>
    </w:p>
    <w:p>
      <w:pPr>
        <w:jc w:val="both"/>
        <w:ind w:right="140" w:firstLine="432"/>
        <w:spacing w:after="0" w:line="226" w:lineRule="auto"/>
        <w:rPr>
          <w:sz w:val="20"/>
          <w:szCs w:val="20"/>
          <w:color w:val="auto"/>
        </w:rPr>
      </w:pPr>
      <w:r>
        <w:rPr>
          <w:rFonts w:ascii="Arial" w:cs="Arial" w:eastAsia="Arial" w:hAnsi="Arial"/>
          <w:sz w:val="18"/>
          <w:szCs w:val="18"/>
          <w:color w:val="auto"/>
        </w:rPr>
        <w:t>Conversely, we have selectively granted licenses to our patented Energx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for LLDPE production and for proprietary LDPE reactor mixing technology. We have also granted several licenses for EDC/VCM technology, including the direct chlorination process and catalyst, and S-PVC process and technology.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Information regarding sales, income from operations and assets attributable to our Olefins and Vinyls segments, and geographical information is presented in Note 24 to our consolidated financial statements included in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Web site address is www.westlake.com. We make our Web site content available for information purposes only. It should not be relied upon for investment purposes, nor is it incorporated by reference in this Form 10-K. We make available on this Web site under "Investor Relations/SEC Filings," free of charge, our proxy statements, annual reports on Form 10-K, quarterly reports on Form 10-Q, current reports on Form 8-K and amendments to those materials as soon as reasonably practicable after we electronically file those materials with, or furnish those materials to, the SEC. The SEC also maintains a Web site at www.sec.gov that contains reports, proxy statements and other information regarding SEC registrants, including us.</w:t>
      </w:r>
    </w:p>
    <w:p>
      <w:pPr>
        <w:spacing w:after="0" w:line="10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intend to satisfy the requirement under Item 5.05 of Form 8-K to disclose any amendments to our Code of Ethics and any waiver from a provision of our Code of Ethics by posting such information on our Web site at www.westlake.com under "Investor Relations/Corporate Governance."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Cyclicality in the petrochemical industry has in the past, and may in the future, result in reduced operating margins or operating losses.</w:t>
      </w:r>
    </w:p>
    <w:p>
      <w:pPr>
        <w:spacing w:after="0" w:line="1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historical operating results reflect the cyclical and volatile nature of the petrochemical industry. The industry is mature and capital intensive. Margins in this industry are sensitive to supply and demand balances both domestically and internationally, which historically have been cyclical. The cycles are generally characterized by periods of tight supply, leading to high operating rates and margins, followed by periods of oversupply primarily resulting from excess new capacity additions, leading to reduced operating rates and lower margins.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Moreover, profitability in the petrochemical industry is affected by the worldwide level of demand along with vigorous price competition which may intensify due to, among other things, new industry capacity. In general, weak economic conditions either in the United States, Europe or the rest of the world tend to reduce demand and put pressure on margins. It is not possible to predict accurately the supply and demand balances, market conditions and other factors that will affect industry operating margins in the future.</w:t>
      </w:r>
    </w:p>
    <w:p>
      <w:pPr>
        <w:spacing w:after="0" w:line="133"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New olefins capacity additions in Asia, the Middle East and North America, a number of which have been announced in recent years, may lead to periods of over-supply and lower profitability. As a result, our Olefins segment operating margins may be negatively impacted.</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Continued slow recovery in the U.S. construction markets and budgetary constraints in municipal spending have contributed to lower North American demand for our vinyls products. Likewise, European industry production capacities currently exceed demand in the region, largely due to the weak economic environment in Europe. Looking forward, our Vinyls segment operating rates and margins may continue to be negatively impacted by the slow recovery of the U.S. construction markets and the European economy.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commodity products in highly competitive markets and face significant competition and price pressure.</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sell our products in highly competitive markets. Due to the commodity nature of many of our products, competition in these markets is based primarily on price and to a lesser extent on performance, product quality, product deliverability and customer service. As a result, we generally are not able to protect our market position for these products by product differentiation and may not be able to pass on cost increases to our customers. Accordingly, increases in raw material and other costs may not necessarily correlate with changes in prices for these products, either in the direction of the price change or in magnitude. Specifically, timing differences in pricing between raw material prices, which may change daily, and contract product prices, which in many cases are negotiated monthly or less often, sometimes with an additional lag in effective dates for increases, have had and may continue to have a negative effect on profitability. Significant volatility in raw material costs tends to place pressure on product margins as sales price increases could lag behind raw material cost increases. Conversely, when raw material costs decrease, customers could seek relief in the form of lower sales prices.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Volatility in costs of raw materials and energy may result in increased operating expenses and adversely affect our results of operations and cash flows.</w:t>
      </w:r>
    </w:p>
    <w:p>
      <w:pPr>
        <w:spacing w:after="0" w:line="1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Significant variations in the costs and availability of raw materials and energy may negatively affect our results of operations. These costs have risen significantly in the past due primarily to oil and natural gas cost increases. We purchase significant amounts of ethane feedstock, natural gas, ethylene and salt to produce several basic chemicals. We also purchase significant amounts of electricity to supply the energy required in our production processes. The cost of these raw materials and energy, in the aggregate, represents a substantial portion of our operating expenses. The prices of raw materials and energy generally follow price trends of, and vary with market conditions for, crude oil and natural gas, which are highly volatile and cyclical. Changes to regulatory policies applicable to the German energy sector for industrial users have contributed to higher prices for industrial users of energy in the future. Our results of operations have been and could in the future be significantly affected by increases in these costs.</w:t>
      </w:r>
    </w:p>
    <w:p>
      <w:pPr>
        <w:spacing w:after="0" w:line="124"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Price increases increase our working capital needs and, accordingly, can adversely affect our liquidity and cash flows. In addition, because we utilize the first-in, first-out ("FIFO") method of inventory accounting, during periods of falling raw material prices and declining sales prices, our results of operations for a particular reporting period could be negatively impacted as the lower sales prices would be reflected in operating income more quickly than the corresponding drop in feedstock costs. We use derivative instruments in an attempt to reduce price volatility risk on some feedstock commodities. In the future, we may decide not to hedge any of our raw material costs or any hedges we enter into may not have successful results. Also, our hedging activities involve credit risk associated with our hedging counterparties, and a deterioration in the financial markets could adversely affect our hedging counterparties and their abilities to fulfill their obligations to us.</w:t>
      </w:r>
    </w:p>
    <w:p>
      <w:pPr>
        <w:spacing w:after="0" w:line="12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Lower prices of crude oil, such as those experienced since the third quarter of 2014 and continuing through 2016 (as of December 31, 2016, approximately 50% lower than their 2014 peak levels), have led to a reduction in the cost advantage for natural gas liquids-based ethylene crackers in North America, such as ours, as compared to naphtha-based ethylene crackers that use crude oil derivatives. As a result, our margins and cash flows have been and may continue to be negatively impacted. This impact could be magnified to the extent crude oil prices drop even further and depending on how long prices remain at these levels. Lower crude oil and natural gas prices could lead to a reduction in hydraulic fracturing in the United States, which could reduce the availability of feedstock and increase prices of feedstock for our operations. Higher natural gas prices could also adversely affect our ability to export products that we produce in the United States outside of the United States. In addition to the impact that this has on our exports from the United States, reduced competitiveness of U.S. producers also has in the past increased the availability of chemicals in North America, as U.S. production that would otherwise have been sold overseas was instead offered for sale domestically, resulting in excess supply and lower prices in North America. We could also face the threat of imported products from countries that have a cost advantage. Additionally, the export of natural gas liquids from the United States or greater restrictions on hydraulic fracturing could restrict the availability of our raw materials in the United States, thereby increasing our costs.</w:t>
      </w:r>
    </w:p>
    <w:p>
      <w:pPr>
        <w:spacing w:after="0" w:line="2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External factors beyond our control can cause fluctuations in demand for our products and in our prices and margins, which may negatively affect our results of operations and cash flows.</w:t>
      </w:r>
    </w:p>
    <w:p>
      <w:pPr>
        <w:spacing w:after="0" w:line="3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External factors beyond our control can cause volatility in raw material prices, demand for our products, product prices and volumes and deterioration in operating margins. These factors can also magnify the impact of economic cycles on our business and results of operations. Examples of external factors include:</w:t>
      </w:r>
    </w:p>
    <w:p>
      <w:pPr>
        <w:spacing w:after="0" w:line="46" w:lineRule="exact"/>
        <w:rPr>
          <w:sz w:val="20"/>
          <w:szCs w:val="20"/>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the United States, Europe and Asia;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capacity additions in North America, Asia and the Middle East;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business activity in the industries that use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competitor action;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innovations;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events and circumstances;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 sabotage, terrorism and civil unrest;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regulation, including in the United States, Europe and Asia;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severe weather and natural disasters;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worthiness of customers and vendors.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 number of our products are highly dependent on durable goods markets, such as housing and construction, which are themselves particularly cyclical. The significant weakness in the U.S. residential housing market since 2006 and continued economic weakness in Europe has had an adverse effect on demand and margins for our products. If the global economy worsens in general, or the U.S. residential housing market or the European economy worsens in particular, demand for our products and our results of operations and cash flows could be adversely affected to an even greater degree.</w:t>
      </w:r>
    </w:p>
    <w:p>
      <w:pPr>
        <w:spacing w:after="0" w:line="100"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may reduce production at or idle a facility for an extended period of time or exit a business because of high raw material prices, an oversupply of a particular product and/or a lack of demand for that particular product, which makes production uneconomical. Temporary outages sometimes last for several quarters or, in certain cases, longer and cause us to incur costs, including the expenses of maintaining and restarting these facilities. Factors such as increases in raw material costs or lower demand in the future may cause us to further reduce operating rates, idle facilities or exit uncompetitive businesses.</w:t>
      </w:r>
    </w:p>
    <w:p>
      <w:pPr>
        <w:spacing w:after="0" w:line="10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Hostilities in the Middle East, the Commonwealth of Independent States (including Ukraine) or elsewhere or the occurrence, or threat of occurrence, of terrorist attacks could adversely affect the economies of the United States, Europe and other developed countries. A lower level of economic activity could result in a decline in demand for our products, which could adversely affect our net sales and margins and limit our future growth prospects. Volatility in prices for crude oil and natural gas could also result in increased feedstock costs. Furthermore, sustained lower prices of crude oil, such as the prices experienced since the third quarter of 2014 and continuing through 2016, have led and may continue to lead to lower margins in the United States. In addition, these risks could cause increased instability in the financial and insurance markets and could adversely affect our ability to access capital and to obtain insurance coverage that we consider adequate or is otherwise required by our contracts with third parties.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operate internationally and are subject to related risks, including exchange rate fluctuations, exchange controls, political risk and other risks relating to international operations.</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operate internationally and are subject to the risks of doing business on a global basis. These risks include, but are not limited to, fluctuations in currency exchange rates, currency devaluations, imposition of trade barriers (which could, among other things, negatively impact our ability to export our products outside of the U.S.), imposition of tariffs and duties, restrictions on the transfer of funds, changes in law and regulatory requirements, involvement in judicial proceedings in unfavorable jurisdictions, economic instability and disruptions, political unrest and epidemics. If the new U.S. administration makes certain changes to its foreign trade policies, such changes could lead to imposition of additional trade barriers and tariffs on us in foreign jurisdictions. Our operating results could be negatively affected by any of these risks.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global economic conditions may have a negative impact on our business and financial condition.</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 deterioration in global economic conditions, including continued economic weakness in Europe, may have a negative impact on our business and our financial condition. Our ability to access the capital markets may be severely restricted at a time when we would like, or need, to access such markets, which could have an impact on our flexibility to react to changing economic and business conditions. In addition, the availability of additional financing at cost effective interest rates cannot be assured. A deterioration in global economic conditions, including continued economic weakness in Europe, could have an impact on the lenders under our revolving credit facility or on our customers and suppliers, causing them to fail to meet their obligations to us. Additionally, a deterioration in global economic conditions could result in reduced demand for our products, which would have a negative impact on our revenues and profits. Further, Europe's economic recovery has been slow relative to the United States. If Europe does not experience a meaningful economic recovery, it may have a continued negative effect on our European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compete successfully may reduce our operating profits.</w:t>
      </w:r>
    </w:p>
    <w:p>
      <w:pPr>
        <w:spacing w:after="0" w:line="9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petrochemical industry is highly competitive. Historically, there have been a number of mergers, acquisitions, spin-offs and joint ventures in the industry. This restructuring activity has resulted in fewer but more competitive producers, many of which are larger than we are and have greater financial resources than we do. Among our competitors are some of the world's largest chemical companies and chemical industry joint ventures. Competition within the petrochemical industry and in the manufacturing of building products is affected by a variety of factors, including:</w:t>
      </w:r>
    </w:p>
    <w:p>
      <w:pPr>
        <w:spacing w:after="0" w:line="36" w:lineRule="exact"/>
        <w:rPr>
          <w:sz w:val="20"/>
          <w:szCs w:val="20"/>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 of product supply/demand;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technology and process innovation;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support and customer service;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reliability of raw material and utility supply;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potential substitute materials;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Changes in the competitive environment could have a material adverse effect on our business and our operations. These changes could include:</w:t>
      </w:r>
    </w:p>
    <w:p>
      <w:pPr>
        <w:spacing w:after="0" w:line="102" w:lineRule="exact"/>
        <w:rPr>
          <w:sz w:val="20"/>
          <w:szCs w:val="20"/>
          <w:color w:val="auto"/>
        </w:rPr>
      </w:pPr>
    </w:p>
    <w:p>
      <w:pPr>
        <w:ind w:left="880" w:hanging="35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new domestic and international competitors;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capacity additions by competitors;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base due to mergers;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intensification of price competition in our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or substitute products by competitors;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technological innovations of competitors.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process some volatile and hazardous materials that subject us to operating risks that could adversely affect our operating results.</w:t>
      </w:r>
    </w:p>
    <w:p>
      <w:pPr>
        <w:spacing w:after="0" w:line="12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have chemical manufacturing sites in the United States, Europe and Asia. Our operations are subject to the usual hazards associated with chemical and plastics manufacturing and the related use, storage, transportation and disposal of feedstocks, products and wastes, including:</w:t>
      </w:r>
    </w:p>
    <w:p>
      <w:pPr>
        <w:spacing w:after="0" w:line="11" w:lineRule="exact"/>
        <w:rPr>
          <w:sz w:val="20"/>
          <w:szCs w:val="20"/>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accidents involving our chemical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remediation complications;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environmental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sabotage;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attacks;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7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According to some experts, global climate change could result in heightened hurricane activity in the Gulf of Mexico and other weather and natural disaster hazards worldwide. If this materializes, severe weather and natural disaster hazards could pose an even greater risk for our facilities, particularly those in Louisiana.</w:t>
      </w:r>
    </w:p>
    <w:p>
      <w:pPr>
        <w:spacing w:after="0" w:line="12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over an extended period of operations at any one of our chemical manufacturing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only for reduced amounts of coverage. If we were to incur a significant liability for which we were not fully insured, it could have a material adverse effect on our financial condition, results of operations or cash flows.</w:t>
      </w:r>
    </w:p>
    <w:p>
      <w:pPr>
        <w:spacing w:after="0" w:line="116" w:lineRule="exact"/>
        <w:rPr>
          <w:sz w:val="20"/>
          <w:szCs w:val="20"/>
          <w:color w:val="auto"/>
        </w:rPr>
      </w:pPr>
    </w:p>
    <w:p>
      <w:pPr>
        <w:ind w:right="200" w:firstLine="432"/>
        <w:spacing w:after="0" w:line="270" w:lineRule="auto"/>
        <w:rPr>
          <w:sz w:val="20"/>
          <w:szCs w:val="20"/>
          <w:color w:val="auto"/>
        </w:rPr>
      </w:pPr>
      <w:r>
        <w:rPr>
          <w:rFonts w:ascii="Arial" w:cs="Arial" w:eastAsia="Arial" w:hAnsi="Arial"/>
          <w:sz w:val="17"/>
          <w:szCs w:val="17"/>
          <w:color w:val="auto"/>
        </w:rPr>
        <w:t>We are exposed to significant losses from products liability, personal injury and other claims relating to the products we manufacture. Additionally, individuals currently seek, and likely will continue to seek, damages for alleged personal injury or property damage due to alleged exposure to chemicals at our facilities or to chemicals otherwise owned, controlled or manufactured by us. We are also subject to present and future claims with respect to workplace exposure, workers' compensation and other matters. Any such claims, whether with or without merit, could be time consuming, expensive to defend and could divert management's attention and resources. We maintain and expect to continue to maintain insurance for products liability, workplace exposure, workers' compensation and other claims, but the amount and scope of such insurance may not be adequate or available to cover a claim that is successfully asserted against us. In addition, such insurance could become more expensive and difficult to maintain and may not be available to us on commercially reasonable terms or at all. The results of any future litigation or claims are inherently unpredictable, but such outcomes could have a material adverse effect on our financial condition,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outside suppliers for specified feedstocks and services.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obtain a significant portion of our raw materials from a few key suppliers. If any of these suppliers is unable to meet its obligations under any present or future supply agreements, we may be forced to pay higher prices to obtain the necessary raw materials. Any interruption of supply or any price increase of raw materials could have a material adverse effect on our business and results of operations. A vendor may choose, subject to existing contracts, to modify its relationship due to general economic concerns or concerns relating to the vendor or us, at any time. Any significant change in the terms that we have with our key suppliers, or any significant additional requirements from our suppliers that we provide them additional security in the form of prepayments or with letters of credits, could materially adversely affect our financial condition, results of operations or cash flows.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heavily on third party transportation, which subjects us to risks and costs that we cannot control. Such risks and costs may materially adversely affect our operations.</w:t>
      </w:r>
    </w:p>
    <w:p>
      <w:pPr>
        <w:spacing w:after="0" w:line="35"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rely heavily on railroads, barges and other shipping companies to transport raw materials to the manufacturing facilities used by our businesses and to ship finished products to customers. These transport operations are subject to various hazards and risks, including extreme weather conditions, work stoppages and operating hazards (including pipeline leaks and ruptures and storage tank leaks), as well as interstate transportation regulations. In addition, the methods of transportation we utilize, including shipping chlorine and other chemicals by railroad, may be subject to additional, more stringent and more costly regulations in the future. If we are delayed or unable to ship finished products or unable to obtain raw materials as a result of any such new regulations or public policy changes related to transportation safety, or these transportation companies fail to operate properly, or if there were significant changes in the cost of these services due to new or additional regulations, or otherwise, we may not be able to arrange efficient alternatives and timely means to obtain raw materials or ship goods, which could result in a material adverse effect on our business and results of operations.</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of the Merger or those benefits may take longer to realize than expected. We may also encounter significant unexpected difficulties in integrating the two businesses.</w:t>
      </w:r>
    </w:p>
    <w:p>
      <w:pPr>
        <w:spacing w:after="0" w:line="3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ability to realize the anticipated benefits of the Merger will depend, to a large extent, on our ability to integrate the Westlake and Axiall businesses. The combination of two independent businesses is a complex, costly and time-consuming process. As a result, we will be required to devote significant management attention and resources to integrating Axiall's business practices and operations with our existing business practices and operations. The integration process may disrupt the businesses and, if implemented ineffectively or if impacted by unforeseen negative economic or market conditions or other factors, we may not realize the full anticipated benefits of the Merger. Our failure to meet the challenges involved in integrating the two businesses to realize the anticipated benefits of the Merger could cause an interruption of, or a loss of momentum in, our activities and could adversely affect our results of operations.</w:t>
      </w:r>
    </w:p>
    <w:p>
      <w:pPr>
        <w:spacing w:after="0" w:line="135" w:lineRule="exact"/>
        <w:rPr>
          <w:sz w:val="20"/>
          <w:szCs w:val="20"/>
          <w:color w:val="auto"/>
        </w:rPr>
      </w:pPr>
    </w:p>
    <w:p>
      <w:pPr>
        <w:ind w:right="160" w:firstLine="432"/>
        <w:spacing w:after="0" w:line="334" w:lineRule="auto"/>
        <w:rPr>
          <w:sz w:val="20"/>
          <w:szCs w:val="20"/>
          <w:color w:val="auto"/>
        </w:rPr>
      </w:pPr>
      <w:r>
        <w:rPr>
          <w:rFonts w:ascii="Arial" w:cs="Arial" w:eastAsia="Arial" w:hAnsi="Arial"/>
          <w:sz w:val="16"/>
          <w:szCs w:val="16"/>
          <w:color w:val="auto"/>
        </w:rPr>
        <w:t>In addition, the overall integration of the businesses may result in material unanticipated problems, expenses, liabilities, competitive responses, loss of customer relationships, and diversion of management's attention. The difficulties of combining the operations of the companies include, among others:</w:t>
      </w:r>
    </w:p>
    <w:p>
      <w:pPr>
        <w:spacing w:after="0" w:line="1" w:lineRule="exact"/>
        <w:rPr>
          <w:sz w:val="20"/>
          <w:szCs w:val="20"/>
          <w:color w:val="auto"/>
        </w:rPr>
      </w:pPr>
    </w:p>
    <w:p>
      <w:pPr>
        <w:ind w:left="880" w:hanging="35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90" w:lineRule="exact"/>
        <w:rPr>
          <w:rFonts w:ascii="Arial" w:cs="Arial" w:eastAsia="Arial" w:hAnsi="Arial"/>
          <w:sz w:val="18"/>
          <w:szCs w:val="18"/>
          <w:color w:val="auto"/>
        </w:rPr>
      </w:pPr>
    </w:p>
    <w:p>
      <w:pPr>
        <w:ind w:left="880" w:right="220" w:hanging="359"/>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Axiall's business with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the assimilation of employees;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successfully managing relationships with our strategic partners and our supplier and customer base;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maintaining existing, and establishing new, business relationships;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w:t>
      </w:r>
    </w:p>
    <w:p>
      <w:pPr>
        <w:spacing w:after="0" w:line="1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decreases in the amount of expected revenues and diversion of management's time and energy, which could materially impact the combined company's business, financial condition or results of operations. In addition, even if the operations of our business and Axiall's business are integrated successfully, we may not realize the full benefits of the Merger, including the synergies, cost savings or sales or growth opportunities that we expect. These benefits may not be achieved within the anticipated time frame, or at all. Furthermore, additional unanticipated costs may be incurred in the integration of the businesses. All of these factors could decrease or delay the expected benefits of the Merger and negatively impact us. As a result, we cannot be certain that the combination of the Westlake and Axiall businesses will result in the realization of the full benefits anticipated from the Merger.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Merger may result in significant charges or other liabilities that could adversely affect the financial results of the combined company.</w:t>
      </w:r>
    </w:p>
    <w:p>
      <w:pPr>
        <w:spacing w:after="0" w:line="10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financial results of the combined company may be adversely affected by cash expenses and non-cash accounting charges incurred in connection with our integration of the business and operations of Axiall with our existing business and operations. The amount and timing of such charges, if any, are not yet known. Further, our failure to identify or accurately assess the magnitude of certain liabilities that we assumed in the Merger could result in unexpected litigation or regulatory exposure, unfavorable accounting charges, unexpected increases in taxes due, a loss of anticipated tax benefits or other adverse effects on our business, operating results or financial condition. The price of our common stock could decline to the extent the combined company's financial results are materially affected by any of these events.</w:t>
      </w:r>
    </w:p>
    <w:p>
      <w:pPr>
        <w:spacing w:after="0" w:line="2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pursue other acquisitions, dispositions and joint ventures and/or other transactions that may impact our results of operations and financial condition.</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seek opportunities to maximize efficiency and create stockholder value through various transactions. These transactions may include various domestic and international business combinations, purchases or sales of assets or contractual arrangements or joint ventures that are intended to result in the realization of synergies, the creation of efficiencies or the generation of cash to reduce debt. In this regard, we regularly consider acquisition opportunities that would be consistent or complementary to our existing business strategies. To the extent permitted under our credit facility, the indenture governing our senior notes and other debt agreements, some of these transactions may be financed by additional borrowings by us. Although we would pursue these transactions because we expect them to yield longer-term benefits if the efficiencies and synergies we expect are realized, they could adversely affect our results of operations in the short term because of the costs associated with such transactions and because they may divert management's attention from existing business operations. Other transactions may advance future cash flows from some of our businesses, thereby yielding increased short-term liquidity, but consequently resulting in lower cash flows from these operations over the longer term. These transactions may not yield the business benefits, synergies or financial benefits anticipated by management. Integration of other acquired operations can lead to restructuring charges or other costs. We may have difficulties integrating the operations of other acquired businesses.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use large quantities of hazardous substances and generate large quantities of hazardous wastes and emissions in our manufacturing operations. Due to the large quantities of hazardous substances and wastes, our industry is highly regulated and monitored by various environmental regulatory authorities such as the U.S. Environmental Protection Agency (the "EPA") and the European Union, which promulgates the Industrial Emission Directive ("IED"). As such, we are subject to extensive international, national, state and local laws, regulations and directives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regulations and directives are subject to varying and conflicting interpretations. Many of these laws, regulations and directives provide for substantial fines and potential criminal sanctions for violations and require the installation of costly pollution control equipment or operational changes to limit pollution emissions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or reduce the likelihood or impact of hazardous substance releases, whether permitted or not. For example, all of our petrochemical facilities in the United States and Europe may require improvements to comply with certain changes in process safety management requirements.</w:t>
      </w:r>
    </w:p>
    <w:p>
      <w:pPr>
        <w:spacing w:after="0" w:line="9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New laws, rules and regulations as well as changes to laws, rules and regulations may also affect us. For example, on April 17, 2012, the EPA promulgated MACT standards for major sources and generally available control technology ("GACT") standards for area sources of PVC production. The rule sets emission limits and work practice standards for total organic air toxics and for three specific air toxics: vinyl chloride, chlorinated di-benzo dioxins and furans ("CD/DF"), and hydrogen chloride and includes requirements to demonstrate initial and continuous compliance with the emission standards. Similarly, the Toxic Substances Control Act ("TSCA") imposes reporting, record-keeping and testing requirements, and restrictions relating to the production, handling, and use of chemical substances. The TSCA reform legislation enacted in June 2016 expanded the EPA's authority to review and regulate new and existing chemicals. This law or future new, amended or proposed laws or rules may result in an increase in regulations, which could increase our costs or reduce our production, which could have a material adverse effect on our business, financial condition, operating results or cash flows. In addition, we cannot accurately predict future developments, such as increasingly strict environmental and safety laws or regulations, and inspection and enforcement policies, as well as resulting higher compliance costs, which might affect the handling, manufacture, use, emission, disposal or remediation of products, other materials or hazardous and non-hazardous waste, and we cannot predict with certainty the extent of our future liabilities and costs under environmental, health and safety laws and regulations. These liabilities and costs may be material.</w:t>
      </w:r>
    </w:p>
    <w:p>
      <w:pPr>
        <w:spacing w:after="0" w:line="126"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In March 2011, the EPA proposed amendments to the emission standards for hazardous air pollutants for mercury emissions from mercury cell chlor-alkali plants. These proposed amendments would require improvements in work practices to reduce fugitive mercury emissions. We operate a mercury cell production unit at our Natrium facility. We cannot predict the timing or content of the final regulation, or its ultimate cost to, or impact on us.</w:t>
      </w:r>
    </w:p>
    <w:p>
      <w:pPr>
        <w:spacing w:after="0" w:line="9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operations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if ratified, establishes a framework for the parties to cooperate and report actions to reduce GHG emissions. Legislation to regulate GHG emissions has also been introduced in the United States Congress, and there has been a wide-ranging policy debate regarding the impact of these gases and possible means for their regulation. Some of the proposals would require industries to meet stringent new standards that would require substantial reductions in carbon emissions. Those reductions could be costly and difficult to implement.</w:t>
      </w:r>
    </w:p>
    <w:p>
      <w:pPr>
        <w:spacing w:after="0" w:line="11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GHG emissions. In the European Union, the Emissions Trading Scheme obligates certain emitters to obtain GHG emission allowances to comply with a cap and trade system for GHG emissions. In addition, the European Union has committed to reduce domestic GHG emissions by at least 40% below the 1990 level by 2030. As our chemical manufacturing processes result in GHG emissions, these and other GHG laws and regulations could affect our costs of doing business.</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Under the IED, European Union member state governments are expected to adopt rules and implement environmental permitting programs relating to air, water and waste for industrial facilities. In this context, concepts such as the "best available technique" are being explored. Future implementation of these concepts may result in technical modifications in our European facilities. In addition, under the Environmental Liability Directive, European Union member states can require the remediation of soil and groundwater contamination in certain circumstances, under the "polluter pays principle." We are unable to predict the impact these requirements and concepts may have on our future costs of compliance.</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flows.</w:t>
      </w:r>
    </w:p>
    <w:p>
      <w:pPr>
        <w:spacing w:after="0" w:line="133"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similar state laws and certain European directives impose joint and several liability for the costs of remedial investigations and actions on the entities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generated waste, arranged for disposal of the wastes, transported to or selected the disposal sites and the past and present owners and operators of such sites. All such potentially responsible parties (or any one of them, including us) may be required to bear all of such costs regardless of fault, legality of the original disposal or ownership of the disposal site. In addition, CERCLA, similar state laws and certain European directives could impose liability for damages to natural resources caused by contamination.</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Capital projects are subject to risks, including delays and cost overruns, which could have an adverse impact on our financial condition and results of operations.</w:t>
      </w:r>
    </w:p>
    <w:p>
      <w:pPr>
        <w:spacing w:after="0" w:line="3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have capital expansion plans for our facilities. Expansion projects may be subject to delays or cost overruns, including delays or cost overruns resulting from any one or more of the following:</w:t>
      </w:r>
    </w:p>
    <w:p>
      <w:pPr>
        <w:spacing w:after="0" w:line="35"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unexpectedly long delivery times for, or shortages of, key equipment, parts or materials;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of skilled labor and other personnel necessary to perform the work;</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and performance issues;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failures or delays of third-party equipment vendors or service providers;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increases in the cost of equipment, labor and raw materials;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stoppages and other labor disputes;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actual or purported change orders;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with contractors and suppliers;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and engineering problems;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latent damages or deterioration to equipment and machinery in excess of engineering estimates and assumptions;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or other difficulties of our contractors and suppliers;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sabotage;</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interference from adverse weather conditions; and</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Significant cost overruns or delays could materially affect our financial condition and results of operations. Additionally, actual capital expenditures could materially exceed our planned capital expenditures.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level of debt, including substantial additional debt that we incurred in connection with the Merger, could adversely affect our ability to operate our business.</w:t>
      </w:r>
    </w:p>
    <w:p>
      <w:pPr>
        <w:spacing w:after="0" w:line="3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As of December 31, 2016, our indebtedness, including current maturities, totaled $3.8 billion, and our debt represented approximately 50% of our total capitalization. Our annual interest expense for 2016 was $79.5 million, net of interest capitalized of $10.4 million. In connection with the Merger, we substantially increased our indebtedness, which could adversely affect our ability to fulfill our obligations and have a negative impact on our financing options and liquidity position. On August 10, 2016, we issued $1.45 billion aggregate principal amount of senior notes in order to finance part of the Merger consideration. On August 23, 2016, we entered into a $1.0 billion unsecured revolving credit facility (the "Credit Agreement"). The Credit Agreement replaced our existing $400.0 million senior secured third amended and restated credit facility, dated as of July 17, 2014 (the "Prior ABL Credit Agreement"). On September 7, 2016, we completed offers to exchange (the "Axiall Exchange Offers") any and all of the $688.0 million aggregate principal amount of the outstanding 4.625% senior notes due 2021 (the "4.625% Subsidiary 2021 Senior Notes") issued by Eagle Spinco Inc. ("Eagle Spinco"), a wholly-owned subsidiary of Axiall, and the $450.0 million aggregate principal amount of the outstanding 4.875% senior notes due 2023 (the "4.875% Subsidiary 2023 Senior Notes" and, together with the 4.625% Subsidiary 2021 Senior Notes, the "Subsidiary Notes") issued by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Axiall for new senior notes issued by us and having the same maturity and interest rates as the Subsidiary Notes. Under the Axiall Exchange Offers, $624.8 million aggregate principal amount of the 4.625% Subsidiary 2021 Senior Notes and $433.8 million aggregate principal amount of the 4.875% Subsidiary 2023 Senior Notes were exchanged for $624.8 million aggregate principal amount of our 4.625% senior notes due 2021 (the "4.625% Westlake 2021 Senior Notes") and $433.8 million aggregate principal amount of our 4.875% senior notes due 2023 (the "4.875% Westlake 2023 Senior Notes"), respectively, leaving outstanding $63.2 million aggregate principal amount of the 4.625% Subsidiary 2021 Senior Notes and $16.2 million aggregate principal amount of the 4.875% Subsidiary 2023 Senior Notes.</w:t>
      </w:r>
    </w:p>
    <w:p>
      <w:pPr>
        <w:spacing w:after="0" w:line="13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level of debt and the limitations imposed on us by our existing or future debt agreements could have significant consequences on our business and future prospects, including the following:</w:t>
      </w:r>
    </w:p>
    <w:p>
      <w:pPr>
        <w:spacing w:after="0" w:line="35" w:lineRule="exact"/>
        <w:rPr>
          <w:sz w:val="20"/>
          <w:szCs w:val="20"/>
          <w:color w:val="auto"/>
        </w:rPr>
      </w:pPr>
    </w:p>
    <w:p>
      <w:pPr>
        <w:ind w:left="880" w:right="34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portion of our cash flows from operations will be dedicated to the payment of interest and principal on our debt and will not be available for other purposes, including the payment of dividends;</w:t>
      </w:r>
    </w:p>
    <w:p>
      <w:pPr>
        <w:spacing w:after="0" w:line="35"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necessary financing in the future for working capital, capital expenditures, acquisitions, debt service requirements or other purposes;</w:t>
      </w:r>
    </w:p>
    <w:p>
      <w:pPr>
        <w:spacing w:after="0" w:line="35" w:lineRule="exact"/>
        <w:rPr>
          <w:rFonts w:ascii="Arial" w:cs="Arial" w:eastAsia="Arial" w:hAnsi="Arial"/>
          <w:sz w:val="18"/>
          <w:szCs w:val="18"/>
          <w:color w:val="auto"/>
        </w:rPr>
      </w:pPr>
    </w:p>
    <w:p>
      <w:pPr>
        <w:ind w:left="88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less leveraged competitors could have a competitive advantage because they have greater flexibility to utilize their cash flows to improve their operations;</w:t>
      </w:r>
    </w:p>
    <w:p>
      <w:pPr>
        <w:spacing w:after="0" w:line="35" w:lineRule="exact"/>
        <w:rPr>
          <w:rFonts w:ascii="Arial" w:cs="Arial" w:eastAsia="Arial" w:hAnsi="Arial"/>
          <w:sz w:val="18"/>
          <w:szCs w:val="18"/>
          <w:color w:val="auto"/>
        </w:rPr>
      </w:pPr>
    </w:p>
    <w:p>
      <w:pPr>
        <w:ind w:left="880" w:right="34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exposed to risks inherent in interest rate fluctuations because some of our borrowings are at variable rates of interest, which would result in higher interest expense in the event of increases in interest rates;</w:t>
      </w:r>
    </w:p>
    <w:p>
      <w:pPr>
        <w:spacing w:after="0" w:line="35" w:lineRule="exact"/>
        <w:rPr>
          <w:rFonts w:ascii="Arial" w:cs="Arial" w:eastAsia="Arial" w:hAnsi="Arial"/>
          <w:sz w:val="18"/>
          <w:szCs w:val="18"/>
          <w:color w:val="auto"/>
        </w:rPr>
      </w:pPr>
    </w:p>
    <w:p>
      <w:pPr>
        <w:ind w:left="880" w:right="76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vulnerable in the event of a downturn in our business that would leave us less able to take advantage of significant business opportunities and to react to changes in our business and in market or industry conditions; and</w:t>
      </w:r>
    </w:p>
    <w:p>
      <w:pPr>
        <w:spacing w:after="0" w:line="35" w:lineRule="exact"/>
        <w:rPr>
          <w:rFonts w:ascii="Arial" w:cs="Arial" w:eastAsia="Arial" w:hAnsi="Arial"/>
          <w:sz w:val="18"/>
          <w:szCs w:val="18"/>
          <w:color w:val="auto"/>
        </w:rPr>
      </w:pPr>
    </w:p>
    <w:p>
      <w:pPr>
        <w:ind w:left="880" w:right="14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should we pursue additional expansions of existing assets or acquisition of third party assets, we may not be able to obtain additional liquidity at cost effective interest rates.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factors could be magnified or accelerated to the extent we were to finance future acquisitions with significant amounts of debt.</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To service our indebtedness and fund our capital requirements, we will require a significant amount of cash. Our ability to generate cash depends on many factors beyond our control.</w:t>
      </w:r>
    </w:p>
    <w:p>
      <w:pPr>
        <w:spacing w:after="0" w:line="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pay cash dividends will depend on our ability to generate cash in the future, including any distributions that we may receive from Westlake Partners. This is subject to general economic, financial, currency, competitive, legislative, regulatory and other factors that are beyond our control.</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business may not generate sufficient cash flows from operations, we may not receive sufficient distributions from Westlake Partners, currently anticipated cost savings and operating improvements may not be realized on schedule and future borrowings may not be available to us under our credit facility in an amount sufficient to enable us to pay our indebtedness or to fund our other liquidity needs. We also generate revenues denominated in currencies other than that of our indebtedness and may have difficulty converting those revenues into the currency of our indebtedness. We may need to refinance all or a portion of our indebtedness on or before maturity. In addition, we may not be able to refinance any of our indebtedness, including our credit facility and our senior notes, on commercially reasonable terms or at all. All of these factors could be magnified if we were to finance any future acquisitions with significant amounts of debt.</w:t>
      </w:r>
    </w:p>
    <w:p>
      <w:pPr>
        <w:spacing w:after="0" w:line="2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Credit Agreement and the indenture governing certain of our senior notes impose significant operating and financial restrictions, which may prevent us from capitalizing on business opportunities and taking some actions.</w:t>
      </w:r>
    </w:p>
    <w:p>
      <w:pPr>
        <w:spacing w:after="0" w:line="3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Credit Agreement and the indenture governing certain of our senior notes impose significant operating and financial restrictions on us. These restrictions limit our ability to:</w:t>
      </w:r>
    </w:p>
    <w:p>
      <w:pPr>
        <w:spacing w:after="0" w:line="35" w:lineRule="exact"/>
        <w:rPr>
          <w:sz w:val="20"/>
          <w:szCs w:val="20"/>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dividend or other payment restrictions on our restricted subsidiaries;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all or substantially all of our assets or consolidate or merge with or into other companies;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These limitations are subject to a number of important qualifications and exceptions. However, the effectiveness of many of these restrictions in the indenture governing certain of our senior notes is currently suspended under the indenture because those notes are currently rated investment grade by at least two nationally recognized credit rating agencies. The Credit Agreement also requires us to maintain a quarterly total leverage ratio.</w:t>
      </w:r>
    </w:p>
    <w:p>
      <w:pPr>
        <w:spacing w:after="0" w:line="11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These covenants may adversely affect our ability to finance future business opportunities or acquisitions. A breach of any of these covenants could result in a default in respect of the related debt. If a default occurred, the relevant lenders could elect to declare the debt, together with accrued interest and other fees, to be immediately due and payable. In addition, any acceleration of debt under the Credit Agreement will constitute a default under some of our other debt, including the indentures governing our senior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and similar arrangements exposes us to a number of risks, including risks of shared control.</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connection with the Merger, we became party to several new joint ventures and similar arrangements, including an investment, together with Lotte Chemical USA Corporation ("Lotte"), in a joint venture to build an ethylene facility, LACC, LLC ("LACC"). Our participation in joint ventures and similar arrangements, by their nature, requires us to share control with unaffiliated third parties. In particular, with respect to our investment in LACC, we are a 10% holder and, therefore, our partner Lotte will have primary control over operations, including management of the contractors responsible for constructing the ethylene facility. If there are differences in views among joint venture participants in how to operate a joint venture that result in delayed decisions or the failure to make decisions, or our joint venture partners do not fulfill their obligations, the affected joint venture may not be able to operate according to its business plan and fulfill its obligations. In that case, we may be required to write down the value of our investment in a joint venture, increase the level of financial or other commitments to the joint venture or, if we have contractual agreements with the joint venture, our operations may be materially adversely affected. Any of the foregoing could have a material adverse effect on our financial condition,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LACC may incur additional costs or delays in the construction of the LACC ethylene facility.</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connection with the Merger, we assumed a commitment to contribute up to $225.0 million toward the construction of the LACC ethylene facility, which equates to approximately 10% of the equity in LACC. If there are cost overruns, our investment could be diluted below 10% if we do not make additional contributions to maintain our ownership position. The construction of the LACC ethylene facility without delays or significant cost overruns is subject to substantial risks, including:</w:t>
      </w:r>
    </w:p>
    <w:p>
      <w:pPr>
        <w:spacing w:after="0" w:line="52" w:lineRule="exact"/>
        <w:rPr>
          <w:sz w:val="20"/>
          <w:szCs w:val="20"/>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and inconsistent quality of equipment, materials, and labor;</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costs and productivity;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880" w:right="500" w:hanging="359"/>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contractor or supplier delay or non-performance under construction or other agreements or non-performance by other major participants in construction projects;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or failure to receive necessary permits, approvals, tax credits, and other regulatory authorizations;</w:t>
      </w:r>
    </w:p>
    <w:p>
      <w:pPr>
        <w:spacing w:after="0" w:line="90" w:lineRule="exact"/>
        <w:rPr>
          <w:rFonts w:ascii="Arial" w:cs="Arial" w:eastAsia="Arial" w:hAnsi="Arial"/>
          <w:sz w:val="18"/>
          <w:szCs w:val="18"/>
          <w:color w:val="auto"/>
        </w:rPr>
      </w:pPr>
    </w:p>
    <w:p>
      <w:pPr>
        <w:ind w:left="880" w:right="200" w:hanging="359"/>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associated with start-up activities, including major equipment failure, system integration, and operations, and/or unforeseen engineering problems;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project design or scope;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impacts of new and existing laws and regulations, including environmental laws and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legal challenges to projects, including legal challenges to regulatory approvals;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construct in accordance with licensing requirements;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public and policymaker support for such projects;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weather conditions or natural disasters;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sabotage;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and geological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increased costs to interconnect facilities;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unanticipated cost increases.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1" w:right="29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right="420" w:firstLine="432"/>
        <w:spacing w:after="0" w:line="297" w:lineRule="auto"/>
        <w:rPr>
          <w:sz w:val="20"/>
          <w:szCs w:val="20"/>
          <w:color w:val="auto"/>
        </w:rPr>
      </w:pPr>
      <w:r>
        <w:rPr>
          <w:rFonts w:ascii="Arial" w:cs="Arial" w:eastAsia="Arial" w:hAnsi="Arial"/>
          <w:sz w:val="16"/>
          <w:szCs w:val="16"/>
          <w:color w:val="auto"/>
        </w:rPr>
        <w:t>Targets such as chemical manufacturing facilities may be at greater risk of terrorist attacks than other targets. As a result, the chemical industry responded to the issues surrounding the terrorist attacks of September 11, 2001 by implementing initiatives relating to the security of chemicals industry facilities and the transportation of hazardous chemicals. Simultaneously, local, state, national and international governments put into effect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1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A change in tax laws, treaties or regulations, or their interpretation or application, could have a negative impact on our business and results of operations.</w:t>
      </w:r>
    </w:p>
    <w:p>
      <w:pPr>
        <w:spacing w:after="0" w:line="3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are subject to changes in applicable tax laws, treaties or regulations in the jurisdictions in which we operate. A material change in these tax laws, treaties or regulations, or their interpretation or application, could have a negative impact on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difficulties integrating the operations of future acquired businesses.</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If we are unable to integrate or to successfully manage businesses that we may acquire in the future, our business, financial condition and results of operations could be adversely affected. We may not be able to realize the operating efficiencies, synergies, cost savings or other benefits expected from the acquisitions for a number of reasons, including the following:</w:t>
      </w:r>
    </w:p>
    <w:p>
      <w:pPr>
        <w:spacing w:after="0" w:line="46"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integrate the businesses we acquire into a cohesive, efficient enterprise;</w:t>
      </w:r>
    </w:p>
    <w:p>
      <w:pPr>
        <w:spacing w:after="0" w:line="90" w:lineRule="exact"/>
        <w:rPr>
          <w:rFonts w:ascii="Arial" w:cs="Arial" w:eastAsia="Arial" w:hAnsi="Arial"/>
          <w:sz w:val="18"/>
          <w:szCs w:val="18"/>
          <w:color w:val="auto"/>
        </w:rPr>
      </w:pPr>
    </w:p>
    <w:p>
      <w:pPr>
        <w:ind w:left="880" w:right="120" w:hanging="359"/>
        <w:spacing w:after="0" w:line="264"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resources, including management resources, are limited and may be strained if we engage in a large acquisition or significant number of acquisitions, and acquisitions may divert our management's attention from initiating or carrying out programs to save costs or enhance revenues; and</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retain key employees and contracts of the businesses we acquire.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acquisitions could lead to significant restructuring or other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related to "conflict minerals" could adversely impact our business</w:t>
      </w:r>
      <w:r>
        <w:rPr>
          <w:rFonts w:ascii="Arial" w:cs="Arial" w:eastAsia="Arial" w:hAnsi="Arial"/>
          <w:sz w:val="18"/>
          <w:szCs w:val="18"/>
          <w:color w:val="auto"/>
        </w:rPr>
        <w:t>.</w:t>
      </w:r>
    </w:p>
    <w:p>
      <w:pPr>
        <w:spacing w:after="0" w:line="171"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The Dodd-Frank Wall Street Reform and Consumer Protection Act of 2010 ("Dodd-Frank Act") contains provisions to improve transparency and accountability concerning the supply of certain minerals, known as conflict minerals, originating from the Democratic Republic of Congo and adjoining countries (collectively, the "Covered Countries"). The term "conflict minerals" encompasses tantalum, tin, tungsten (and their ores) and gold.</w:t>
      </w:r>
    </w:p>
    <w:p>
      <w:pPr>
        <w:spacing w:after="0" w:line="9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August 2012, pursuant to the Dodd-Frank Act, the SEC adopted new annual disclosure and reporting requirements applicable to any company that files periodic public reports with the SEC, if any conflicts minerals are necessary to the functionality or production of a product manufactured, or contracted to be manufactured, by that company. These new annual reporting requirements require companies to describe reasonable country of origin inquiries, due diligence measures and the results of those activities and related determinations.</w:t>
      </w:r>
    </w:p>
    <w:p>
      <w:pPr>
        <w:spacing w:after="0" w:line="13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Because we have a highly complex, multi-layered supply chain, we may incur significant costs to comply with these requirements. In addition, the implementation of procedures to comply with these requirements could adversely affect the sourcing, supply and pricing of materials, including components, used in our products. Our suppliers (or suppliers to our suppliers) may not be able or willing to provide all requested information or to take other steps necessary to ensure that no conflict minerals financing or benefiting armed groups are included in materials or components supplied to us for our manufacturing purposes. Also, we may encounter challenges to satisfy customers that may require all of the components of products purchased by them to be certified as conflict free. If we are not able to meet customer certification requirements, customers may choose to disqualify us as a supplier. In addition, since the applicability of the new conflict minerals requirements is limited to companies that file periodic reports with the SEC, not all of our competitors will need to comply with these requirements unless they are imposed by customers. As a result, those competitors may have cost and other advantages over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by labor relations.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vast majority of our employees in Europe, and some of our employees in North America, are represented by labor unions and works councils. Our operations may be adversely affected by strikes, work stoppages and other labor disputes.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580"/>
        <w:spacing w:after="0" w:line="357" w:lineRule="auto"/>
        <w:rPr>
          <w:sz w:val="20"/>
          <w:szCs w:val="20"/>
          <w:color w:val="auto"/>
        </w:rPr>
      </w:pPr>
      <w:r>
        <w:rPr>
          <w:rFonts w:ascii="Arial" w:cs="Arial" w:eastAsia="Arial" w:hAnsi="Arial"/>
          <w:sz w:val="15"/>
          <w:szCs w:val="15"/>
          <w:b w:val="1"/>
          <w:bCs w:val="1"/>
          <w:i w:val="1"/>
          <w:iCs w:val="1"/>
          <w:color w:val="auto"/>
        </w:rPr>
        <w:t>We have certain material pension and other postretirement employment benefit ("OPEB") obligations. Future funding obligations related to these obligations could restrict cash available for our operations, capital expenditures or other requirements or require us to borrow additional funds</w:t>
      </w:r>
      <w:r>
        <w:rPr>
          <w:rFonts w:ascii="Arial" w:cs="Arial" w:eastAsia="Arial" w:hAnsi="Arial"/>
          <w:sz w:val="15"/>
          <w:szCs w:val="15"/>
          <w:b w:val="1"/>
          <w:bCs w:val="1"/>
          <w:color w:val="auto"/>
        </w:rPr>
        <w:t>.</w:t>
      </w:r>
    </w:p>
    <w:p>
      <w:pPr>
        <w:ind w:right="40" w:firstLine="432"/>
        <w:spacing w:after="0" w:line="270" w:lineRule="auto"/>
        <w:rPr>
          <w:sz w:val="20"/>
          <w:szCs w:val="20"/>
          <w:color w:val="auto"/>
        </w:rPr>
      </w:pPr>
      <w:r>
        <w:rPr>
          <w:rFonts w:ascii="Arial" w:cs="Arial" w:eastAsia="Arial" w:hAnsi="Arial"/>
          <w:sz w:val="17"/>
          <w:szCs w:val="17"/>
          <w:color w:val="auto"/>
        </w:rPr>
        <w:t>We have certain non-U.S. defined benefit pension plans covering current and former employees associated with our European operations that we have not funded and are not obligated to fund under applicable law. In addition, we assumed certain U.S. and non-U.S. tax-qualified and non-tax-qualified pension obligations, as well as OPEB obligations, in connection with the Merger. The non-tax-qualified pension liabilities and OPEB obligations to provide retiree health benefits assumed as a result of the Merger are unfunded. As of December 31, 2016, the projected benefit obligation for our pension and OPEB plans were approximately $924.4 million and $83.3 million, respectively. The fair value of pension investment assets was $630.3 million as of December 31, 2016. The underfunded status of the pension obligations calculated on a projected benefit obligation basis as of December 31, 2016 was approximately $294.1 million. The unfunded OPEB obligations as of December 31, 2016 were approximately $83.3 million. We will require future operating cash flows to fund our pension and OPEB obligations, which could restrict available cash for our operations, capital expenditures and other requirements. We may also not generate sufficient cash to satisfy these obligations, which could require us to seek funding from other sources, including through additional borrowings, which could materially increase our outstanding debt or debt service requirements.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goodwill, indefinite-lived intangible assets or other intangible assets become impaired in the future, we may be required to record non-cash charges to earnings, which could be significant.</w:t>
      </w:r>
    </w:p>
    <w:p>
      <w:pPr>
        <w:spacing w:after="0" w:line="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Under GAAP, we review goodwill and indefinite-lived intangible assets for impairment on an annual basis or more frequently if events or circumstances indicate that their carrying value may not be recoverable. Other intangible assets are reviewed if events or circumstances indicate that their carrying value may not be recoverable. The process of impairment testing for our goodwill and intangible assets involves a number of judgments and estimates made by management including the fair values of assets and liabilities, future cash flows, our interpretation of current economic indicators and market conditions, overall economic conditions and our strategic operational plans with regards to our business units. If the judgments and estimates used in our analysis are not realized or change due to external factors, then actual results may not be consistent with these judgments and estimates, and our goodwill and intangible assets may become impaired in future periods. If our goodwill, indefinite-lived intangible assets or other intangible assets are determined to be impaired in the future, we may be required to record non-cash charges to earnings during the period in which the impairment is determined, which could be significant and have an adverse effect on our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negatively impact us.</w:t>
      </w:r>
    </w:p>
    <w:p>
      <w:pPr>
        <w:spacing w:after="0" w:line="9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Volatility in the capital and credit markets may cause downward pressure on stock prices and credit availability. A decline in the market value of our common stock could make it more difficult for us to raise any equity capital.</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conversion of legacy Axiall's Enterprise Resource Planning ("ERP") information systems to Westlake's ERP information systems may negatively impact our operations.</w:t>
      </w:r>
    </w:p>
    <w:p>
      <w:pPr>
        <w:spacing w:after="0" w:line="3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highly dependent on our information systems infrastructure in order to process orders, track inventory, ship products in a timely manner, prepare invoices to our customers, maintain regulatory compliance and otherwise carry on our business in the ordinary course. Because legacy Axiall had its own ERP information systems, we currently operate on multiple ERP information systems, which complicates our processing, reporting and analysis of business transactions and other information. Since we must process and reconcile our information from multiple systems, the chance of errors is increased, and we may incur significant additional costs related thereto. Inconsistencies in the information from multiple ERP systems could adversely impact our ability to manage our business efficiently and may result in heightened risk to our ability to maintain our books and records and comply with regulatory requirements. We expect to transition the legacy Axiall systems to Westlake's ERP systems. The transition involves numerous risks, including:</w:t>
      </w:r>
    </w:p>
    <w:p>
      <w:pPr>
        <w:spacing w:after="0" w:line="32" w:lineRule="exact"/>
        <w:rPr>
          <w:sz w:val="20"/>
          <w:szCs w:val="20"/>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away from normal daily business operations;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cost overruns;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delays in accessing data;</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demand on our operations support personnel;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initial dependence on unfamiliar systems while training personnel to use new systems;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expenses resulting from training, conversion and transition support activities.</w:t>
      </w:r>
    </w:p>
    <w:p>
      <w:pPr>
        <w:spacing w:after="0" w:line="17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Any of the foregoing could result in a material increase in information technology compliance or other related costs and could materially negatively impact our operations. In addition, any failures in the transition to Westlake's ERP system could delay and/or impede our ability to order materials and services, manufacture products, fill and ship customer orders, invoice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customers, generate management reports and timely prepare consolidated financial statements and maintain appropriate internal control over financial reporting, and thus, could unfavorably impact our operations and regulatory compliance in a significant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 have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and interest rates could affect our consolidated financial results.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earn revenues, pay expenses, own assets and incur liabilities in countries using currencies other than the U.S. dollar. Because our consolidated financial statements are presented in U.S. dollars, we must translate revenues and expenses into U.S. dollars at the average exchange rate during each reporting period, as well as assets and liabilities into U.S. dollars at exchange rates in effect at the end of each reporting period. Therefore, increases or decreases in the value of the U.S. dollar against other major currencies will affect our net revenues, operating income and the value of balance sheet items denominated in foreign currencies. Because of the geographic diversity of our operations, weaknesses in various currencies might occur in one or many of such currencies over time. From time to time, we may use derivative financial instruments to further reduce our net exposure to currency exchange rate fluctuations. However, fluctuations in foreign currency exchange rates, such as the recent strengthening of the U.S. dollar against major currencies, including, in particular, the Canadian dollar, could nevertheless materially adversely affect our financial results.</w:t>
      </w:r>
    </w:p>
    <w:p>
      <w:pPr>
        <w:spacing w:after="0" w:line="125"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addition, we are exposed to volatility in interest rates. When appropriate, we may use derivative financial instruments to reduce our exposure to interest rate risks. However, our financial risk management program may not be successful in reducing the risks inherent in exposures to interest rate fluctuations.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property insurance has only partial coverage for acts of terrorism and, in the event of terrorist attack, we could lose net sales and our facilities.</w:t>
      </w:r>
    </w:p>
    <w:p>
      <w:pPr>
        <w:spacing w:after="0" w:line="11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As a result of the terrorist attacks of September 11, 2001 and other events, our insurance carriers created certain exclusions for losses from terrorism from our property insurance policies. While separate terrorism insurance coverage is available, premiums for full coverage are very expensive, especially for chemical facilities, and the policies are subject to high deductibles. Available terrorism coverage typically excludes coverage for losses from acts of war and from acts of foreign governments as well as nuclear, biological and chemical attacks. We have determined that it is not economically prudent to obtain full terrorism insurance, especially given the significant risks that are not covered by such insurance. Where feasible we have secured some limited terrorism insurance coverage on our property where insurers have included it in their overall programs. In the event of a terrorist attack impacting one or more of our facilities, we could lose the net sales from the facilities and the facilities themselves, and could become liable for any contamination or for personal or property damage due to exposure to hazardous materials caused by any catastrophic release that may result from a terrorist attack.</w:t>
      </w:r>
    </w:p>
    <w:p>
      <w:pPr>
        <w:spacing w:after="0" w:line="193" w:lineRule="exact"/>
        <w:rPr>
          <w:sz w:val="20"/>
          <w:szCs w:val="20"/>
          <w:color w:val="auto"/>
        </w:rPr>
      </w:pPr>
    </w:p>
    <w:p>
      <w:pPr>
        <w:ind w:right="320"/>
        <w:spacing w:after="0" w:line="320" w:lineRule="auto"/>
        <w:rPr>
          <w:sz w:val="20"/>
          <w:szCs w:val="20"/>
          <w:color w:val="auto"/>
        </w:rPr>
      </w:pPr>
      <w:r>
        <w:rPr>
          <w:rFonts w:ascii="Arial" w:cs="Arial" w:eastAsia="Arial" w:hAnsi="Arial"/>
          <w:sz w:val="15"/>
          <w:szCs w:val="15"/>
          <w:b w:val="1"/>
          <w:bCs w:val="1"/>
          <w:i w:val="1"/>
          <w:iCs w:val="1"/>
          <w:color w:val="auto"/>
        </w:rPr>
        <w:t>Westlake Partners' tax treatment depends on its status as a partnership for federal income tax purposes, as well as it not being subject to a material amount of entity-level taxation by individual states. We depend in part on distributions from Westlake Partners to generate cash for our operations, capital expenditures, debt service and other uses. If the Internal Revenue Service, or IRS, were to treat Westlake Partners as a corporation for federal income tax purposes, or if Westlake Partners become subject to entity-level taxation for state tax purposes, its cash available for distribution would be substantially reduced, which would also likely cause a substantial reduction in the value of its common units that we hold.</w:t>
      </w:r>
    </w:p>
    <w:p>
      <w:pPr>
        <w:spacing w:after="0" w:line="12"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Despite the fact that Westlake Partners is organized as a limited partnership under Delaware law, it would be treated as a corporation for U.S. federal income tax purposes unless it satisfies a "qualifying income" requirement (the "Qualifying Income Exception") under Section 7704 of the Internal Revenue Code of 1986, as amended (the "Code"). Failure to meet the Qualifying Income Exception would cause Westlake Partners to be treated as a corporation for U.S. federal income tax purposes.</w:t>
      </w:r>
    </w:p>
    <w:p>
      <w:pPr>
        <w:spacing w:after="0" w:line="133"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Prior to its initial public offering, Westlake Partners requested and obtained a favorable private letter ruling from the IRS to the effect that, based on facts presented in the private letter ruling request, income from the production, transportation, storage and marketing of ethylene and its co-products constitutes "qualifying income" within the meaning of Section 7704 of</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Code. Failure to meet the Qualifying Income Exception or a change in current law could cause Westlake Partners to be treated as a corporation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or otherwise subject Westlake Partners to taxation as an entity.</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will be controlled by our principal stockholder and its affiliates as long as they own a majority of our common stock, and our other stockholders will be unable to affect the outcome of stockholder voting during that time. Our interests may conflict with those of the principal stockholder and its affiliates, and we may not be able to resolve these conflicts on terms possible in arms-length transactions.</w:t>
      </w:r>
    </w:p>
    <w:p>
      <w:pPr>
        <w:spacing w:after="0" w:line="3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As long as TTWF LP (the "principal stockholder") and its affiliates (the "principal stockholder affiliates") own a majority of our outstanding common stock, they will be able to exert significant control over us, and our other stockholders, by themselves, will not be able to affect the outcome of any stockholder vote. As a result, the principal stockholder, subject to any fiduciary duty owed to our minority stockholders under Delaware law, will be able to control all matters affecting us (some of which may present conflicts of interest), including:</w:t>
      </w:r>
    </w:p>
    <w:p>
      <w:pPr>
        <w:spacing w:after="0" w:line="52" w:lineRule="exact"/>
        <w:rPr>
          <w:sz w:val="20"/>
          <w:szCs w:val="20"/>
          <w:color w:val="auto"/>
        </w:rPr>
      </w:pPr>
    </w:p>
    <w:p>
      <w:pPr>
        <w:ind w:left="880" w:hanging="33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composition of our Board of Directors and, through the Board, any determination with respect to our business direction and policies, including the appointment and removal of officers and the determination of compensation;</w:t>
      </w:r>
    </w:p>
    <w:p>
      <w:pPr>
        <w:spacing w:after="0" w:line="35"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determinations with respect to mergers or other business combinations or the acquisition or disposition of assets;</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financing decisions, capital raising activities and the payment of dividends; and</w:t>
      </w:r>
    </w:p>
    <w:p>
      <w:pPr>
        <w:spacing w:after="0" w:line="90"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amendments to our amended and restated certificate of incorporation or amended and restated bylaws.</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principal stockholder will be permitted to transfer a controlling interest in us without being required to offer our other stockholders the ability to participate or realize a premium for their shares of common stock. A sale of a controlling interest to a third party may adversely affect the market price of our common stock and our business and results of operations because the change in control may result in a change of management decisions and business policy. Because we have elected not to be subject to Section 203 of the General Corporation Law of the State of Delaware, the principal stockholder may find it easier to sell its controlling interest to a third party than if we had not so elected.</w:t>
      </w:r>
    </w:p>
    <w:p>
      <w:pPr>
        <w:spacing w:after="0" w:line="1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to any conflicts of interest that arise in the foregoing areas, our interests may conflict with those of the principal stockholder affiliates in a number of other areas, including:</w:t>
      </w:r>
    </w:p>
    <w:p>
      <w:pPr>
        <w:spacing w:after="0" w:line="35" w:lineRule="exact"/>
        <w:rPr>
          <w:sz w:val="20"/>
          <w:szCs w:val="20"/>
          <w:color w:val="auto"/>
        </w:rPr>
      </w:pPr>
    </w:p>
    <w:p>
      <w:pPr>
        <w:ind w:left="880" w:right="180" w:hanging="359"/>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opportunities that may be presented to the principal stockholder affiliates and to our officers and directors associated with the principal stockholder affiliates, and competition between the principal stockholder affiliates and us within the same lines of business;</w:t>
      </w:r>
    </w:p>
    <w:p>
      <w:pPr>
        <w:spacing w:after="0" w:line="11" w:lineRule="exact"/>
        <w:rPr>
          <w:rFonts w:ascii="Arial" w:cs="Arial" w:eastAsia="Arial" w:hAnsi="Arial"/>
          <w:sz w:val="17"/>
          <w:szCs w:val="17"/>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solicitation and hiring of employees from each other;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agreements with the principal stockholder affiliates relating to corporate services that may be material to our business.</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may not be able to resolve any potential conflicts with the principal stockholder affiliates, and even if we do, the resolution may be less favorable than if we were dealing with an unaffiliated party, particularly if the conflicts are resolved while we are controlled by the principal stockholder affiliates. Our amended and restated certificate of incorporation provides that the principal stockholder affiliates have no duty to refrain from engaging in activities or lines of business similar to ours and that the principal stockholder affiliates will not be liable to us or our stockholders for failing to present specified corporate opportunities to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about Forward Looking Statements</w:t>
      </w:r>
    </w:p>
    <w:p>
      <w:pPr>
        <w:spacing w:after="0" w:line="9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Private Securities Litigation Reform Act of 1995 provides safe harbor provisions for forward-looking information. Certain of the statements contained in this Form 10-K are forward-looking statements. All statements, other than statements of historical facts, included in this Form 10-K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30" w:lineRule="exact"/>
        <w:rPr>
          <w:sz w:val="20"/>
          <w:szCs w:val="20"/>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operating rates, margins, cash flows and demand for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market outlook, including the price of crude oil;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capacities;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devaluation;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borrow additional funds under the Credit Agreement;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meet debt obligations under our debt instruments;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intended quarterly dividends;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capacity additions and expansions in the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timing, funding and results of capital projects, such as the expansion program at our Calvert City facility and the construction of the LACC plant;</w:t>
      </w:r>
    </w:p>
    <w:p>
      <w:pPr>
        <w:spacing w:after="0" w:line="113" w:lineRule="exact"/>
        <w:rPr>
          <w:rFonts w:ascii="Arial" w:cs="Arial" w:eastAsia="Arial" w:hAnsi="Arial"/>
          <w:sz w:val="16"/>
          <w:szCs w:val="16"/>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acquisitions, including our acquisition of Axiall (including the benefits, results and effects thereof);</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of our customer base;</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plan obligations, funding requirements and investment policies;</w:t>
      </w:r>
    </w:p>
    <w:p>
      <w:pPr>
        <w:spacing w:after="0" w:line="90" w:lineRule="exact"/>
        <w:rPr>
          <w:rFonts w:ascii="Arial" w:cs="Arial" w:eastAsia="Arial" w:hAnsi="Arial"/>
          <w:sz w:val="18"/>
          <w:szCs w:val="18"/>
          <w:color w:val="auto"/>
        </w:rPr>
      </w:pPr>
    </w:p>
    <w:p>
      <w:pPr>
        <w:ind w:left="880" w:right="100" w:hanging="359"/>
        <w:spacing w:after="0" w:line="264"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GHG emissions or to address other issues of climate change;</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effects of pending legal proceedings;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and those described from time to time in our other filings with the SEC including, but not limited to, the following:</w:t>
      </w:r>
    </w:p>
    <w:p>
      <w:pPr>
        <w:spacing w:after="0" w:line="43" w:lineRule="exact"/>
        <w:rPr>
          <w:sz w:val="20"/>
          <w:szCs w:val="20"/>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uncertainties associated with the United States, European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other countries and political unrest in other areas;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realize anticipated benefits of the Merger and to integrate Axiall's business;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charges or other liabilities relating to the Merger;</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significant indebtedness that we have incurred in connection with the Merger;</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integrate acquired businesses other than Axiall;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manufacturing facilities and principal products are set forth below. Except as noted, we own each of these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Principal Products</w:t>
            </w:r>
          </w:p>
        </w:tc>
      </w:tr>
      <w:tr>
        <w:trPr>
          <w:trHeight w:val="22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Ethylene, polyethylene, styrene, VCM, chlorine, caustic soda,</w:t>
            </w:r>
          </w:p>
        </w:tc>
      </w:tr>
      <w:tr>
        <w:trPr>
          <w:trHeight w:val="237"/>
        </w:trPr>
        <w:tc>
          <w:tcPr>
            <w:tcW w:w="5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chlorinated derivative products, electricity</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Longview, Texas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Polyethylene, polyethylene wax</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Calvert City, Kentucky </w:t>
            </w:r>
            <w:r>
              <w:rPr>
                <w:rFonts w:ascii="Arial" w:cs="Arial" w:eastAsia="Arial" w:hAnsi="Arial"/>
                <w:sz w:val="25"/>
                <w:szCs w:val="25"/>
                <w:color w:val="auto"/>
                <w:vertAlign w:val="superscript"/>
              </w:rPr>
              <w:t>(2)</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 VCM, chlorine, caustic soda, ethylene</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Plaquemine, Louisiana</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chlorine, caustic soda, electricity</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Geismar, Louisiana</w:t>
            </w: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 VCM, chlorine, caustic soda</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Gendorf, Bavaria, Germany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chlorine, caustic soda</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Burghausen, Bavaria,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w:t>
            </w:r>
          </w:p>
        </w:tc>
      </w:tr>
      <w:tr>
        <w:trPr>
          <w:trHeight w:val="270"/>
        </w:trPr>
        <w:tc>
          <w:tcPr>
            <w:tcW w:w="5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Knapsack, North Rhine-Westphalia, Germany </w:t>
            </w:r>
            <w:r>
              <w:rPr>
                <w:rFonts w:ascii="Arial" w:cs="Arial" w:eastAsia="Arial" w:hAnsi="Arial"/>
                <w:sz w:val="25"/>
                <w:szCs w:val="25"/>
                <w:color w:val="auto"/>
                <w:vertAlign w:val="superscript"/>
              </w:rPr>
              <w:t>(1)</w:t>
            </w:r>
          </w:p>
        </w:tc>
        <w:tc>
          <w:tcPr>
            <w:tcW w:w="6040" w:type="dxa"/>
            <w:vAlign w:val="bottom"/>
          </w:tcPr>
          <w:p>
            <w:pPr>
              <w:ind w:left="40"/>
              <w:spacing w:after="0"/>
              <w:rPr>
                <w:sz w:val="20"/>
                <w:szCs w:val="20"/>
                <w:color w:val="auto"/>
              </w:rPr>
            </w:pPr>
            <w:r>
              <w:rPr>
                <w:rFonts w:ascii="Arial" w:cs="Arial" w:eastAsia="Arial" w:hAnsi="Arial"/>
                <w:sz w:val="18"/>
                <w:szCs w:val="18"/>
                <w:color w:val="auto"/>
              </w:rPr>
              <w:t>PVC, VCM, chlorine, caustic soda</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Cologne, North Rhine-Westphalia, Germany </w:t>
            </w:r>
            <w:r>
              <w:rPr>
                <w:rFonts w:ascii="Arial" w:cs="Arial" w:eastAsia="Arial" w:hAnsi="Arial"/>
                <w:sz w:val="25"/>
                <w:szCs w:val="25"/>
                <w:color w:val="auto"/>
                <w:vertAlign w:val="superscript"/>
              </w:rPr>
              <w:t>(1)</w:t>
            </w: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PVC</w:t>
            </w:r>
          </w:p>
        </w:tc>
      </w:tr>
      <w:tr>
        <w:trPr>
          <w:trHeight w:val="248"/>
        </w:trPr>
        <w:tc>
          <w:tcPr>
            <w:tcW w:w="526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21"/>
                <w:szCs w:val="21"/>
                <w:color w:val="auto"/>
              </w:rPr>
            </w:pPr>
          </w:p>
        </w:tc>
        <w:tc>
          <w:tcPr>
            <w:tcW w:w="6040" w:type="dxa"/>
            <w:vAlign w:val="bottom"/>
          </w:tcPr>
          <w:p>
            <w:pPr>
              <w:spacing w:after="0"/>
              <w:rPr>
                <w:sz w:val="21"/>
                <w:szCs w:val="21"/>
                <w:color w:val="auto"/>
              </w:rPr>
            </w:pPr>
          </w:p>
        </w:tc>
      </w:tr>
    </w:tbl>
    <w:p>
      <w:pPr>
        <w:spacing w:after="0" w:line="89"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the land on which our facilities are located.</w:t>
      </w:r>
    </w:p>
    <w:p>
      <w:pPr>
        <w:spacing w:after="0" w:line="63" w:lineRule="exact"/>
        <w:rPr>
          <w:rFonts w:ascii="Arial" w:cs="Arial" w:eastAsia="Arial" w:hAnsi="Arial"/>
          <w:sz w:val="18"/>
          <w:szCs w:val="18"/>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 portion of the land on which our Calvert City facility is located.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olefins facility at our Lake Charles site consists of three tracts on approximately 1,700 acres in Lake Charles, each within three miles of one another. The site includes two ethylene plants, which are owned by OpCo, two polyethylene plants and a styrene monomer plant. The combined capacity of OpCo's two Lake Charles ethylene plants is approximately 3.0 billion pounds per year. The capacity of our two polyethylene plants is approximately 1.5 billion pounds per year and the capacity of our styrene plant is approximately 570 million pounds per year. One of our polyethylene plants has two production units that use gas phase technology with the capability to manufacture both LLDPE and HDPE.</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Lake Charles site includes a marine terminal that provides for worldwide shipping capabilities. The site also is located near rail transportation facilities, which allows for efficient delivery of raw materials and prompt shipment of our products to customers. In addition, the site is connected by pipeline systems to our ethylene feedstock sources in both Texas and Louisiana. Within the site, OpCo's ethylene plants are connected by pipeline systems to our polyethylene and styrene plants.</w:t>
      </w:r>
    </w:p>
    <w:p>
      <w:pPr>
        <w:spacing w:after="0" w:line="13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Longview site consists of three polyethylene plants, a specialty polyethylene wax plant, and a 200-mile ethylene pipeline owned by OpCo that runs from Mont Belvieu to our Longview site. The plants are located inside a large Eastman Chemical Company ("Eastman") facility where Eastman produces a number of other chemical products. We can access ethylene to support our polyethylene operations either by purchasing ethylene from Eastman at the site or by transporting ethylene from OpCo's Lake Charles plant into the Gulf Coast grid and by transporting ethylene through our ethylene pipeline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into our Longview facility. The technologies we use to produce polyethylene at Longview are similar to the technologies that we employ at Lake Charles. The Longview facility has a total capacity of 1.1 billion pounds per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Calvert City site is situated on approximately 750 acres on the Tennessee River in Kentucky and includes an ethylene plant, which is owned by OpCo, a chlor-alkali plant, a VCM plant and a PVC plant. The capacity of OpCo's Calvert City ethylene plant is 630 million pounds per year and the capacity of our chlor-alkali plant is 550 million pounds of chlorine and 605 million pounds of caustic soda per year. Our chlorine plant utilizes efficient, state-of-the-art membrane technology. Our VCM plant has a capacity of 1.3 billion pounds per year and our Calvert City PVC plant has a capacity of 1.3 billion pounds per year. In January 2016, OpCo announced an expansion project to increase the ethylene capacity of its ethylene plant at our Calvert City facility. The expansion, along with other initiatives, is expected to increase ethylene capacity by approximately 100 million pounds annually and is targeted for completion during the first half of 2017.</w:t>
      </w:r>
    </w:p>
    <w:p>
      <w:pPr>
        <w:spacing w:after="0" w:line="13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vinyls facility at our Lake Charles site consists of two tracts of land making up approximately 1,690 acres, each within three miles of one another. The site operates a diverse portfolio of manufacturing plants, including three chlor-alkali plants, two VCM plants, a chlorinated derivative products plant and cogeneration assets. Our Lake Charles chlor-alkali plants are designed to produce up to 2.8 billion pounds of chlorine and 3.0 billion pounds of caustic soda per year. Our chlorine plants utilize both membrane and diaphragm technology. Our Lake Charles VCM plants have a capacity of 2.1 billion pounds per year and our chlorinated derivative products plants have a capacity of 715 million pounds per year. Our Lake Charles cogeneration assets have the capacity to generate approximately 420 Megawatts of electricity per year.</w:t>
      </w:r>
    </w:p>
    <w:p>
      <w:pPr>
        <w:spacing w:after="0" w:line="12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Plaquemine site is located on approximately 860 acres on the west bank of the Mississippi River in Iberville Parish and includes a chlor-alkali plant, a VCM plant, a PVC plant and cogeneration assets. The capacity of Plaquemine's chlor-alkali plant is 940 million pounds of chlorine and 1.0 billion pounds of caustic soda per year. Our chlorine plant utilizes diaphragm technology. Our Plaquemine VCM plant has a capacity of 1.6 billion pounds per year and our PVC plant has a capacity of 1.9 billion pounds per year. Our Plaquemine cogeneration assets have the capacity to generate approximately 240 Megawatts of electricity per year.</w:t>
      </w:r>
    </w:p>
    <w:p>
      <w:pPr>
        <w:spacing w:after="0" w:line="13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Geismar site is situated on approximately 185 acres on the Mississippi River and includes a chlor-alkali plant, a VCM plant and a PVC plant. Our Geismar chlor-alkali plant is designed to produce up to 700 million pounds of chlorine and 770 million pounds of caustic soda per year. Our chlorine plant utilizes efficient, state-of-the-art membrane technology. Our Geismar VCM plant has a capacity of 550 million pounds per year and our PVC plant has a capacity of 600 million pounds per year.</w:t>
      </w:r>
    </w:p>
    <w:p>
      <w:pPr>
        <w:spacing w:after="0" w:line="133" w:lineRule="exact"/>
        <w:rPr>
          <w:sz w:val="20"/>
          <w:szCs w:val="20"/>
          <w:color w:val="auto"/>
        </w:rPr>
      </w:pPr>
    </w:p>
    <w:p>
      <w:pPr>
        <w:jc w:val="both"/>
        <w:ind w:right="220" w:firstLine="432"/>
        <w:spacing w:after="0" w:line="257" w:lineRule="auto"/>
        <w:rPr>
          <w:sz w:val="20"/>
          <w:szCs w:val="20"/>
          <w:color w:val="auto"/>
        </w:rPr>
      </w:pPr>
      <w:r>
        <w:rPr>
          <w:rFonts w:ascii="Arial" w:cs="Arial" w:eastAsia="Arial" w:hAnsi="Arial"/>
          <w:sz w:val="18"/>
          <w:szCs w:val="18"/>
          <w:color w:val="auto"/>
        </w:rPr>
        <w:t>Our other North American vinyls manufacturing sites consist of facilities in Natrium, Longview and Beauharnois and include five chlor-alkali plants and four chlorinated derivative products plants. In addition, we have PVC resin and PVC compounds facilities located in Aberdeen, Gallman, Madison and Prairie, Mississippi. The chlor-alkali plants have a combined capacity of 1.0 billion pounds of chlorine and 1.1 billion pounds of caustic soda per year, the PVC plants have a combined capacity of 1.0 billion pounds per year and our chlorinated derivative products plants have a combined capacity of 1.3 billion pounds per year.</w:t>
      </w:r>
    </w:p>
    <w:p>
      <w:pPr>
        <w:spacing w:after="0" w:line="13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European vinyls manufacturing sites consist of five facilities in Germany and one facility in the United Kingdom, and include two state-of-the-art membrane chlor-alkali plants, two VCM plants and six PVC plants. The chlor-alkali plants have a combined capacity of 950 million pounds of chlorine and 1.0 billion pounds of caustic soda per year, the VCM plants have a combined capacity of 1.5 billion pounds per year and the PVC plants have a combined capacity of 1.7 billion pounds per year.</w:t>
      </w:r>
    </w:p>
    <w:p>
      <w:pPr>
        <w:spacing w:after="0" w:line="13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February 15, 2017, we owned 26 building products plants, consisting of 15 PVC pipe plants, eight siding, trim and mouldings plants, two profile plants producing PVC fence, decking, windows and door profiles and one film and sheet plant. The majority of our plants are strategically located near major markets and serve customers throughout the United States, Canada and Asia. The combined capacity of our building product plants is 2.0 billion pounds per year. In addition, we have 19 company-owned building products distribution branches in Canada.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w:t>
      </w:r>
    </w:p>
    <w:p>
      <w:pPr>
        <w:spacing w:after="0" w:line="90"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Our principal executive offices are located in Houston, Texas. Our office space is leased, at market rates, from an affiliate of our principal stockholder. See Note 20 to the audited consolidated financial statements appearing elsewhere in this Form 10-K and "Certain Relationships and Related Transactions" in our proxy statement to be filed with the SEC pursuant to Regulation 14A with respect to our 2017 annual meeting of stockholders (the "Proxy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to the matters described under Note 23 to our consolidated financial statements included in Item 8 of this Form 10-K, we are involved in various legal proceedings incidental to the conduct of our business. We do not believe that any of these legal proceedings will have a material adverse effect on our financial condition,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James Chao </w:t>
      </w:r>
      <w:r>
        <w:rPr>
          <w:rFonts w:ascii="Arial" w:cs="Arial" w:eastAsia="Arial" w:hAnsi="Arial"/>
          <w:sz w:val="16"/>
          <w:szCs w:val="16"/>
          <w:color w:val="auto"/>
        </w:rPr>
        <w:t>(age 69)</w:t>
      </w:r>
      <w:r>
        <w:rPr>
          <w:rFonts w:ascii="Arial" w:cs="Arial" w:eastAsia="Arial" w:hAnsi="Arial"/>
          <w:sz w:val="16"/>
          <w:szCs w:val="16"/>
          <w:i w:val="1"/>
          <w:iCs w:val="1"/>
          <w:color w:val="auto"/>
        </w:rPr>
        <w:t xml:space="preserve">. </w:t>
      </w:r>
      <w:r>
        <w:rPr>
          <w:rFonts w:ascii="Arial" w:cs="Arial" w:eastAsia="Arial" w:hAnsi="Arial"/>
          <w:sz w:val="16"/>
          <w:szCs w:val="16"/>
          <w:color w:val="auto"/>
        </w:rPr>
        <w:t>Mr. Chao has been our Chairman of the Board of Directors since July 2004 and became a director in June 2003. From May 1996</w:t>
      </w:r>
      <w:r>
        <w:rPr>
          <w:rFonts w:ascii="Arial" w:cs="Arial" w:eastAsia="Arial" w:hAnsi="Arial"/>
          <w:sz w:val="16"/>
          <w:szCs w:val="16"/>
          <w:i w:val="1"/>
          <w:iCs w:val="1"/>
          <w:color w:val="auto"/>
        </w:rPr>
        <w:t xml:space="preserve"> </w:t>
      </w:r>
      <w:r>
        <w:rPr>
          <w:rFonts w:ascii="Arial" w:cs="Arial" w:eastAsia="Arial" w:hAnsi="Arial"/>
          <w:sz w:val="16"/>
          <w:szCs w:val="16"/>
          <w:color w:val="auto"/>
        </w:rPr>
        <w:t>to July 2004, he served as our Vice Chairman. Mr. Chao also has responsibility for the oversight of our Vinyls business. Mr. Chao has over 45 years of global experience in the chemical industry. In addition, Mr. Chao has been the Chairman of the Board of Westlake Partners' general partner since its formation in March 2014.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Chemical Corporation. Mr. Chao is on the board of Baylor College of Medicine and KIPP (Knowledge Is Power Program). Mr. Chao received his B.S. degree from Massachusetts Institute of Technology and an M.B.A. from Columbia University.</w:t>
      </w:r>
    </w:p>
    <w:p>
      <w:pPr>
        <w:spacing w:after="0" w:line="11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Albert Chao </w:t>
      </w:r>
      <w:r>
        <w:rPr>
          <w:rFonts w:ascii="Arial" w:cs="Arial" w:eastAsia="Arial" w:hAnsi="Arial"/>
          <w:sz w:val="18"/>
          <w:szCs w:val="18"/>
          <w:color w:val="auto"/>
        </w:rPr>
        <w:t>(age 67)</w:t>
      </w:r>
      <w:r>
        <w:rPr>
          <w:rFonts w:ascii="Arial" w:cs="Arial" w:eastAsia="Arial" w:hAnsi="Arial"/>
          <w:sz w:val="18"/>
          <w:szCs w:val="18"/>
          <w:i w:val="1"/>
          <w:iCs w:val="1"/>
          <w:color w:val="auto"/>
        </w:rPr>
        <w:t xml:space="preserve">. </w:t>
      </w:r>
      <w:r>
        <w:rPr>
          <w:rFonts w:ascii="Arial" w:cs="Arial" w:eastAsia="Arial" w:hAnsi="Arial"/>
          <w:sz w:val="18"/>
          <w:szCs w:val="18"/>
          <w:color w:val="auto"/>
        </w:rPr>
        <w:t>Mr. Chao has been our President since May 1996 and a director since June 2003. Mr. Chao became our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July 2004. Mr. Chao has over 40 years of global experience in the chemical industry. In 1985, Mr. Chao assisted his father T.T. Chao and his brother James Chao in founding Westlake Chemical Corporation, where he served as Executive Vice President until he succeeded James Chao as President. In addition, Mr. Chao has been the President, Chief Executive Officer and a director of Westlake Partners' general partner since its formation in March 2014.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38"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i w:val="1"/>
          <w:iCs w:val="1"/>
          <w:color w:val="auto"/>
        </w:rPr>
        <w:t xml:space="preserve">M. Steven Bender </w:t>
      </w:r>
      <w:r>
        <w:rPr>
          <w:rFonts w:ascii="Arial" w:cs="Arial" w:eastAsia="Arial" w:hAnsi="Arial"/>
          <w:sz w:val="17"/>
          <w:szCs w:val="17"/>
          <w:color w:val="auto"/>
        </w:rPr>
        <w:t>(age 60). Mr. Bender has been our Senior Vice President, Chief Financial Officer and Treasurer since February 2008. From</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2007 to February 2008, Mr. Bender served as our Vice President, Chief Financial Officer and Treasurer and from June 2005 to February 2007, he served as our Vice President and Treasurer. In addition, Mr. Bender has been the Senior Vice President, Chief Financial Officer and a director of Westlake Partners' general partner since its formation in March 2014, and its Treasurer since April 2015.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Robert F. Buesinger </w:t>
      </w:r>
      <w:r>
        <w:rPr>
          <w:rFonts w:ascii="Arial" w:cs="Arial" w:eastAsia="Arial" w:hAnsi="Arial"/>
          <w:sz w:val="18"/>
          <w:szCs w:val="18"/>
          <w:color w:val="auto"/>
        </w:rPr>
        <w:t>(age 60)</w:t>
      </w:r>
      <w:r>
        <w:rPr>
          <w:rFonts w:ascii="Arial" w:cs="Arial" w:eastAsia="Arial" w:hAnsi="Arial"/>
          <w:sz w:val="18"/>
          <w:szCs w:val="18"/>
          <w:i w:val="1"/>
          <w:iCs w:val="1"/>
          <w:color w:val="auto"/>
        </w:rPr>
        <w:t xml:space="preserve">. </w:t>
      </w:r>
      <w:r>
        <w:rPr>
          <w:rFonts w:ascii="Arial" w:cs="Arial" w:eastAsia="Arial" w:hAnsi="Arial"/>
          <w:sz w:val="18"/>
          <w:szCs w:val="18"/>
          <w:color w:val="auto"/>
        </w:rPr>
        <w:t>Mr. Buesinger has been our Senior Vice President, Vinyls since joining us in April 2010. Prior to joining us,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Buesinger served as the General Manager and President of Chevron Phillips Chemical Company L.P.'s Performance Pipe Division from February 2010 to March 2010. From June 2008 to January 2010, Mr. Buesinger held the position of General Manager in the Alpha Olefins and Poly Alpha Olefins business of Chevron Phillips Chemical Company L.P. From April 2005 to May 2008, he served as the President and Managing Director of Chevron Phillips Singapore Chemicals Pte. Ltd. and Asia Region General Manager for Chevron Phillips Chemical Company L.P. Prior to that, he held various technical and sales management positions within that company. Mr. Buesinger holds a B.S. in Chemical Engineering from Tulane University.</w:t>
      </w:r>
    </w:p>
    <w:p>
      <w:pPr>
        <w:spacing w:after="0" w:line="125" w:lineRule="exact"/>
        <w:rPr>
          <w:sz w:val="20"/>
          <w:szCs w:val="20"/>
          <w:color w:val="auto"/>
        </w:rPr>
      </w:pPr>
    </w:p>
    <w:p>
      <w:pPr>
        <w:ind w:right="580" w:firstLine="432"/>
        <w:spacing w:after="0" w:line="291" w:lineRule="auto"/>
        <w:rPr>
          <w:sz w:val="20"/>
          <w:szCs w:val="20"/>
          <w:color w:val="auto"/>
        </w:rPr>
      </w:pPr>
      <w:r>
        <w:rPr>
          <w:rFonts w:ascii="Arial" w:cs="Arial" w:eastAsia="Arial" w:hAnsi="Arial"/>
          <w:sz w:val="16"/>
          <w:szCs w:val="16"/>
          <w:i w:val="1"/>
          <w:iCs w:val="1"/>
          <w:color w:val="auto"/>
        </w:rPr>
        <w:t xml:space="preserve">Michael J. Mattina </w:t>
      </w:r>
      <w:r>
        <w:rPr>
          <w:rFonts w:ascii="Arial" w:cs="Arial" w:eastAsia="Arial" w:hAnsi="Arial"/>
          <w:sz w:val="16"/>
          <w:szCs w:val="16"/>
          <w:color w:val="auto"/>
        </w:rPr>
        <w:t>(age 54)</w:t>
      </w:r>
      <w:r>
        <w:rPr>
          <w:rFonts w:ascii="Arial" w:cs="Arial" w:eastAsia="Arial" w:hAnsi="Arial"/>
          <w:sz w:val="16"/>
          <w:szCs w:val="16"/>
          <w:i w:val="1"/>
          <w:iCs w:val="1"/>
          <w:color w:val="auto"/>
        </w:rPr>
        <w:t xml:space="preserve">. </w:t>
      </w:r>
      <w:r>
        <w:rPr>
          <w:rFonts w:ascii="Arial" w:cs="Arial" w:eastAsia="Arial" w:hAnsi="Arial"/>
          <w:sz w:val="16"/>
          <w:szCs w:val="16"/>
          <w:color w:val="auto"/>
        </w:rPr>
        <w:t>Mr. Mattina has been our Senior Vice President, Polyethylene since April 2015. From March 2011 to March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Mattina served as our Vice President and General Manager of North American Pipe and Specialty Products. From April 2008 to February 2011,</w:t>
      </w:r>
    </w:p>
    <w:p>
      <w:pPr>
        <w:spacing w:after="0" w:line="253" w:lineRule="auto"/>
        <w:rPr>
          <w:sz w:val="20"/>
          <w:szCs w:val="20"/>
          <w:color w:val="auto"/>
        </w:rPr>
      </w:pPr>
      <w:r>
        <w:rPr>
          <w:rFonts w:ascii="Arial" w:cs="Arial" w:eastAsia="Arial" w:hAnsi="Arial"/>
          <w:sz w:val="18"/>
          <w:szCs w:val="18"/>
          <w:color w:val="auto"/>
        </w:rPr>
        <w:t>Mr. Mattina served as our Vice President, Polyethylene and Specialty Products. From June 2005 to March 2008, he served as Director, Polyethylene Sales, Marketing and Technical Service. From October 2001 to May 2005, Mr. Mattina served in a variety of sales and marketing management assignments with us. Prior to joining Westlake, Mr. Mattina held various polyethylene business management, marketing and sales positions within Chevron Phillips Chemical Company and ExxonMobil Chemical Company. Mr. Mattina received a Bachelor of Business Administration in Finance with a minor in Chemistry from Stephen F. Austin University.</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Lawrence E. (Skip) Teel </w:t>
      </w:r>
      <w:r>
        <w:rPr>
          <w:rFonts w:ascii="Arial" w:cs="Arial" w:eastAsia="Arial" w:hAnsi="Arial"/>
          <w:sz w:val="16"/>
          <w:szCs w:val="16"/>
          <w:color w:val="auto"/>
        </w:rPr>
        <w:t>(age 58). Mr. Teel has been our Senior Vice President, Olefins since July 2014. In addition, Mr. Teel has been the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Olefins of Westlake Partners' general partner since July 2014. From July 2012 to July 2014, Mr. Teel served as our Vice President, Olefins. Mr. Teel joined us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1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Simon M. Bates </w:t>
      </w:r>
      <w:r>
        <w:rPr>
          <w:rFonts w:ascii="Arial" w:cs="Arial" w:eastAsia="Arial" w:hAnsi="Arial"/>
          <w:sz w:val="17"/>
          <w:szCs w:val="17"/>
          <w:color w:val="auto"/>
        </w:rPr>
        <w:t>(age 50). Mr. Bates has been our Vice President, Building Products since August 2016. Prior to joining us, Mr. Bates had spent seven</w:t>
      </w:r>
      <w:r>
        <w:rPr>
          <w:rFonts w:ascii="Arial" w:cs="Arial" w:eastAsia="Arial" w:hAnsi="Arial"/>
          <w:sz w:val="17"/>
          <w:szCs w:val="17"/>
          <w:i w:val="1"/>
          <w:iCs w:val="1"/>
          <w:color w:val="auto"/>
        </w:rPr>
        <w:t xml:space="preserve"> </w:t>
      </w:r>
      <w:r>
        <w:rPr>
          <w:rFonts w:ascii="Arial" w:cs="Arial" w:eastAsia="Arial" w:hAnsi="Arial"/>
          <w:sz w:val="17"/>
          <w:szCs w:val="17"/>
          <w:color w:val="auto"/>
        </w:rPr>
        <w:t>years with Georgia Gulf Corporation and then Axiall Corporation where he served as Axiall Corporation's Senior Vice President, Building Products from September 2015 to August 2016. From April 2009 to September 2015, Mr. Bates held the position of Vice President and General Manager of Royal Exteriors at Georgia Gulf Corporation and then Axiall Corporation. From 1996 to 2008, Mr. Bates worked for Hanson PLC, a global building products business, in a variety of senior roles in both Europe and North America. His last role with Hanson PLC was Senior Vice President and General Manager for Hanson Building Products. Mr. Bates holds a Bachelor's degree in Economics from the University of York, United Kingdom and post-graduate qualifications in Accounting and Finance and Marketing from The University of Manchester, United Kingdom.</w:t>
      </w:r>
    </w:p>
    <w:p>
      <w:pPr>
        <w:spacing w:after="0" w:line="124"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i w:val="1"/>
          <w:iCs w:val="1"/>
          <w:color w:val="auto"/>
        </w:rPr>
        <w:t xml:space="preserve">L. Benjamin Ederington </w:t>
      </w:r>
      <w:r>
        <w:rPr>
          <w:rFonts w:ascii="Arial" w:cs="Arial" w:eastAsia="Arial" w:hAnsi="Arial"/>
          <w:sz w:val="18"/>
          <w:szCs w:val="18"/>
          <w:color w:val="auto"/>
        </w:rPr>
        <w:t>(age 46). Mr. Ederington has been our Vice President, General Counsel, Chief Administrative Officer and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December 2015. Mr. Ederington served as our Vice President, General Counsel and Corporate Secretary from October 2013 to December 2015. In addition, Mr. Ederington has been the Vice President, General Counsel, Corporate Secretary and a director of Westlake Partners' general partner since its formation in March 2014.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and interim Director of Government Affairs from March 2010 to April 2011. He began his legal career more than 20 years ago at the law firm of Steptoe &amp; Johnson, LLP. Mr. Ederington holds a B.A. from Yale University and received his J.D. from Harvard University.</w:t>
      </w:r>
    </w:p>
    <w:p>
      <w:pPr>
        <w:spacing w:after="0" w:line="13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i w:val="1"/>
          <w:iCs w:val="1"/>
          <w:color w:val="auto"/>
        </w:rPr>
        <w:t xml:space="preserve">Andrew Kenner </w:t>
      </w:r>
      <w:r>
        <w:rPr>
          <w:rFonts w:ascii="Arial" w:cs="Arial" w:eastAsia="Arial" w:hAnsi="Arial"/>
          <w:sz w:val="17"/>
          <w:szCs w:val="17"/>
          <w:color w:val="auto"/>
        </w:rPr>
        <w:t>(age 52). Mr. Kenner has been our Vice President, Manufacturing since July 2008. Mr. Kenner joined us after a 19-year career at Valero</w:t>
      </w:r>
      <w:r>
        <w:rPr>
          <w:rFonts w:ascii="Arial" w:cs="Arial" w:eastAsia="Arial" w:hAnsi="Arial"/>
          <w:sz w:val="17"/>
          <w:szCs w:val="17"/>
          <w:i w:val="1"/>
          <w:iCs w:val="1"/>
          <w:color w:val="auto"/>
        </w:rPr>
        <w:t xml:space="preserve"> </w:t>
      </w:r>
      <w:r>
        <w:rPr>
          <w:rFonts w:ascii="Arial" w:cs="Arial" w:eastAsia="Arial" w:hAnsi="Arial"/>
          <w:sz w:val="17"/>
          <w:szCs w:val="17"/>
          <w:color w:val="auto"/>
        </w:rPr>
        <w:t>Energy Corporation where he served as Vice President and General Manager of Valero's Delaware City Refinery from September 2005 to July 2008. From August 2004 to September 2005, Mr. Kenner held the position of Vice President and General Manager of Valero's Houston Refinery. Mr. Kenner holds a B.S. in Aerospace Engineering from Texas A&amp;M University and a M.S. in Chemical Engineering from the University of Texas at Austin.</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George J. Mangieri </w:t>
      </w:r>
      <w:r>
        <w:rPr>
          <w:rFonts w:ascii="Arial" w:cs="Arial" w:eastAsia="Arial" w:hAnsi="Arial"/>
          <w:sz w:val="18"/>
          <w:szCs w:val="18"/>
          <w:color w:val="auto"/>
        </w:rPr>
        <w:t>(age 66)</w:t>
      </w:r>
      <w:r>
        <w:rPr>
          <w:rFonts w:ascii="Arial" w:cs="Arial" w:eastAsia="Arial" w:hAnsi="Arial"/>
          <w:sz w:val="18"/>
          <w:szCs w:val="18"/>
          <w:i w:val="1"/>
          <w:iCs w:val="1"/>
          <w:color w:val="auto"/>
        </w:rPr>
        <w:t xml:space="preserve">. </w:t>
      </w:r>
      <w:r>
        <w:rPr>
          <w:rFonts w:ascii="Arial" w:cs="Arial" w:eastAsia="Arial" w:hAnsi="Arial"/>
          <w:sz w:val="18"/>
          <w:szCs w:val="18"/>
          <w:color w:val="auto"/>
        </w:rPr>
        <w:t>Mr. Mangieri has been our Vice President and Chief Accounting Officer since February 2007. From April 2000 to</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2007, he was Vice President and Controller. In addition, Mr. Mangieri has been the Vice President and Chief Accounting Officer of Westlake Partners' general partner since its formation in March 2014. Prior to joining us,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right="2160"/>
        <w:spacing w:after="0" w:line="346"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Price Range of Common Stock</w:t>
      </w:r>
    </w:p>
    <w:p>
      <w:pPr>
        <w:spacing w:after="0" w:line="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February 15, 2017, there were 41 holders of record of our common stock. Our common stock is listed on the New York Stock Exchange under the symbol "WLK." Set forth below are the high and low closing prices for our common stock, as reported on the New York Stock Exchange composite tape for the periods indicated and the cash dividends declared in these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Cash Dividends</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59.17</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49.84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0.1906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0.1906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52.22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62.09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3rd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66.69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0.1815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0.1650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1st Quarter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72.49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0.1650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The $1.0 billion unsecured revolving credit facility (the "Credit Agreement") and the indenture governing the Senior Notes restrict our ability to pay dividends or other distributions on our equity securities. However, the effectiveness of these restrictions in the indenture governing the senior notes is currently suspended because the senior notes are currently rated investment grade by at least two nationally recognized credit rating agencies. See "Management's Discussion and Analysis of Financial Condition and Results of Operations—Liquidity and Capital Resources—Debt"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on our purchase of equity securities during the quarter ended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2016</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1,936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171,285,000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November 2016</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
              <w:spacing w:after="0"/>
              <w:rPr>
                <w:sz w:val="20"/>
                <w:szCs w:val="20"/>
                <w:color w:val="auto"/>
              </w:rPr>
            </w:pPr>
            <w:r>
              <w:rPr>
                <w:rFonts w:ascii="Arial" w:cs="Arial" w:eastAsia="Arial" w:hAnsi="Arial"/>
                <w:sz w:val="18"/>
                <w:szCs w:val="18"/>
                <w:color w:val="auto"/>
              </w:rPr>
              <w:t>171,285,000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2016</w:t>
            </w:r>
          </w:p>
        </w:tc>
        <w:tc>
          <w:tcPr>
            <w:tcW w:w="16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171,285,000</w:t>
            </w: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1,936</w:t>
            </w:r>
          </w:p>
        </w:tc>
        <w:tc>
          <w:tcPr>
            <w:tcW w:w="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ind w:right="18"/>
              <w:spacing w:after="0"/>
              <w:rPr>
                <w:sz w:val="20"/>
                <w:szCs w:val="20"/>
                <w:color w:val="auto"/>
              </w:rPr>
            </w:pPr>
            <w:r>
              <w:rPr>
                <w:rFonts w:ascii="Arial" w:cs="Arial" w:eastAsia="Arial" w:hAnsi="Arial"/>
                <w:sz w:val="18"/>
                <w:szCs w:val="18"/>
                <w:color w:val="auto"/>
              </w:rPr>
              <w:t>53.35</w:t>
            </w:r>
          </w:p>
        </w:tc>
        <w:tc>
          <w:tcPr>
            <w:tcW w:w="100" w:type="dxa"/>
            <w:vAlign w:val="bottom"/>
            <w:tcBorders>
              <w:top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right="20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withheld in satisfaction of withholding taxes due upon the vesting of restricted stock units granted to our employees under the 2013 Plan.</w:t>
      </w:r>
    </w:p>
    <w:p>
      <w:pPr>
        <w:spacing w:after="0" w:line="8" w:lineRule="exact"/>
        <w:rPr>
          <w:rFonts w:ascii="Arial" w:cs="Arial" w:eastAsia="Arial" w:hAnsi="Arial"/>
          <w:sz w:val="18"/>
          <w:szCs w:val="18"/>
          <w:color w:val="auto"/>
        </w:rPr>
      </w:pPr>
    </w:p>
    <w:p>
      <w:pPr>
        <w:ind w:left="420" w:right="60" w:hanging="412"/>
        <w:spacing w:after="0" w:line="255"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November 2014, our Board of Directors authorized a $250.0 million stock repurchase program (the "2014 Program"). In November 2015, our Board of Directors approved the expansion of the 2014 Program by an additional $150.0 million. As of December 31, 2016, 4,193,598 shares of our common stock had been acquired at an aggregate purchase price of approximately $228.7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authorized for issuance under equity compensation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2,002,293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5,280,203</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Pr>
          <w:p>
            <w:pPr>
              <w:jc w:val="right"/>
              <w:ind w:right="6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2,002,293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5,280,203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Other information regarding our equity compensation plans is set forth in the section entitled "Executive Compensation" in our Proxy Statement, which information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and Operational Data </w:t>
      </w:r>
      <w:r>
        <w:rPr>
          <w:rFonts w:ascii="Arial" w:cs="Arial" w:eastAsia="Arial" w:hAnsi="Arial"/>
          <w:sz w:val="25"/>
          <w:szCs w:val="25"/>
          <w:b w:val="1"/>
          <w:bCs w:val="1"/>
          <w:color w:val="auto"/>
          <w:vertAlign w:val="superscript"/>
        </w:rPr>
        <w:t>(1)</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03" w:lineRule="exact"/>
        <w:rPr>
          <w:sz w:val="20"/>
          <w:szCs w:val="20"/>
          <w:color w:val="auto"/>
        </w:rPr>
      </w:pPr>
    </w:p>
    <w:p>
      <w:pPr>
        <w:ind w:left="4680"/>
        <w:spacing w:after="0"/>
        <w:tabs>
          <w:tab w:leader="none" w:pos="6160" w:val="left"/>
          <w:tab w:leader="none" w:pos="7620" w:val="left"/>
          <w:tab w:leader="none" w:pos="9100" w:val="left"/>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(dollars in thousands, except share amounts, per share data and volume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5,075,456</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4,463,336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4,415,350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3,571,041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980,562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1,185,191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1,317,350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1,101,438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736,960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121,609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615,351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retirement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Gain from sales of equity securities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38,270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558,379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963,441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1,083,918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942,172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585,169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331,747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199,614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419,859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665,045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685,016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610,425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385,555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398,859</w:t>
            </w:r>
          </w:p>
        </w:tc>
        <w:tc>
          <w:tcPr>
            <w:tcW w:w="10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646,010</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678,523</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610,425</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385,555</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Earnings Per Share Attributable to</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shd w:val="clear" w:color="auto" w:fill="CCEEFF"/>
          </w:tcPr>
          <w:p>
            <w:pPr>
              <w:ind w:left="160"/>
              <w:spacing w:after="0" w:line="262" w:lineRule="exact"/>
              <w:rPr>
                <w:sz w:val="20"/>
                <w:szCs w:val="20"/>
                <w:color w:val="auto"/>
              </w:rPr>
            </w:pPr>
            <w:r>
              <w:rPr>
                <w:rFonts w:ascii="Arial" w:cs="Arial" w:eastAsia="Arial" w:hAnsi="Arial"/>
                <w:sz w:val="18"/>
                <w:szCs w:val="18"/>
                <w:b w:val="1"/>
                <w:bCs w:val="1"/>
                <w:color w:val="auto"/>
              </w:rPr>
              <w:t xml:space="preserve">Westlake Chemical Corporation: </w:t>
            </w:r>
            <w:r>
              <w:rPr>
                <w:rFonts w:ascii="Arial" w:cs="Arial" w:eastAsia="Arial" w:hAnsi="Arial"/>
                <w:sz w:val="25"/>
                <w:szCs w:val="25"/>
                <w:b w:val="1"/>
                <w:bCs w:val="1"/>
                <w:color w:val="auto"/>
                <w:vertAlign w:val="superscript"/>
              </w:rPr>
              <w:t>(3)</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Weighted average shares outstanding </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129,367,712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131,823,707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133,111,230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133,224,256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132,578,858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129,974,822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132,301,812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133,643,414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133,779,250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133,282,990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459,453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662,525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880,601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461,301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790,078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(4)</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1,225,233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1,652,547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1,474,107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1,244,224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1,352,903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10,890,253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5,569,285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5,207,532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4,053,960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3,404,757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3,678,654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756,322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Total Westlake Chemical Corporation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3,523,629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3,265,878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2,911,511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2,418,603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1,872,256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dividends declared per share </w:t>
            </w:r>
            <w:r>
              <w:rPr>
                <w:rFonts w:ascii="Arial" w:cs="Arial" w:eastAsia="Arial" w:hAnsi="Arial"/>
                <w:sz w:val="25"/>
                <w:szCs w:val="25"/>
                <w:color w:val="auto"/>
                <w:vertAlign w:val="superscript"/>
              </w:rPr>
              <w:t>(3) (5)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0.7442</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0.5820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833,852</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1,078,836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1,032,376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752,729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612,087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(466,971)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1,533,217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(180,939)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628,483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491,426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431,104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679,222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386,882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1,015,518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1,243,854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1,329,756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1,118,062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772,759</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28</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03" w:lineRule="exact"/>
        <w:rPr>
          <w:sz w:val="20"/>
          <w:szCs w:val="20"/>
          <w:color w:val="auto"/>
        </w:rPr>
      </w:pPr>
    </w:p>
    <w:p>
      <w:pPr>
        <w:ind w:left="4680"/>
        <w:spacing w:after="0"/>
        <w:tabs>
          <w:tab w:leader="none" w:pos="6180" w:val="left"/>
          <w:tab w:leader="none" w:pos="7660" w:val="left"/>
          <w:tab w:leader="none" w:pos="9120" w:val="left"/>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(dollars in thousands, except share amounts, per share data and volume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External Sales Volume</w:t>
            </w:r>
          </w:p>
        </w:tc>
        <w:tc>
          <w:tcPr>
            <w:tcW w:w="2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(millions of pounds):</w:t>
            </w:r>
          </w:p>
        </w:tc>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 Segment</w:t>
            </w:r>
          </w:p>
        </w:tc>
        <w:tc>
          <w:tcPr>
            <w:tcW w:w="2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Polyethylene</w:t>
            </w:r>
          </w:p>
        </w:tc>
        <w:tc>
          <w:tcPr>
            <w:tcW w:w="2240" w:type="dxa"/>
            <w:vAlign w:val="bottom"/>
          </w:tcPr>
          <w:p>
            <w:pPr>
              <w:jc w:val="right"/>
              <w:ind w:right="470"/>
              <w:spacing w:after="0"/>
              <w:rPr>
                <w:sz w:val="20"/>
                <w:szCs w:val="20"/>
                <w:color w:val="auto"/>
              </w:rPr>
            </w:pPr>
            <w:r>
              <w:rPr>
                <w:rFonts w:ascii="Arial" w:cs="Arial" w:eastAsia="Arial" w:hAnsi="Arial"/>
                <w:sz w:val="18"/>
                <w:szCs w:val="18"/>
                <w:color w:val="auto"/>
              </w:rPr>
              <w:t>2,392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2,445</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2,364</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2,244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Styrene, feedstock and other</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794</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1,182</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941</w:t>
            </w:r>
          </w:p>
        </w:tc>
        <w:tc>
          <w:tcPr>
            <w:tcW w:w="14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1,094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Vinyls Segment</w:t>
            </w:r>
          </w:p>
        </w:tc>
        <w:tc>
          <w:tcPr>
            <w:tcW w:w="2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8,118</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5,026</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3,174</w:t>
            </w:r>
          </w:p>
        </w:tc>
        <w:tc>
          <w:tcPr>
            <w:tcW w:w="14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1,995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2240" w:type="dxa"/>
            <w:vAlign w:val="bottom"/>
          </w:tcPr>
          <w:p>
            <w:pPr>
              <w:jc w:val="right"/>
              <w:ind w:right="470"/>
              <w:spacing w:after="0"/>
              <w:rPr>
                <w:sz w:val="20"/>
                <w:szCs w:val="20"/>
                <w:color w:val="auto"/>
              </w:rPr>
            </w:pPr>
            <w:r>
              <w:rPr>
                <w:rFonts w:ascii="Arial" w:cs="Arial" w:eastAsia="Arial" w:hAnsi="Arial"/>
                <w:sz w:val="18"/>
                <w:szCs w:val="18"/>
                <w:color w:val="auto"/>
              </w:rPr>
              <w:t>770</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629</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572</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487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740" w:hanging="412"/>
        <w:spacing w:after="0" w:line="298"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historical selected financial and operational data should be read together with Item 7, Management's Discussion and Analysis of Financial Condition and Results of Operations, and Item 8, Financial Statements and Supplementary Data included in this Form 10-K.</w:t>
      </w:r>
    </w:p>
    <w:p>
      <w:pPr>
        <w:ind w:left="420" w:right="60" w:hanging="412"/>
        <w:spacing w:after="0" w:line="25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income (expense), net is composed of the realized gain from previously held outstanding shares of common stock of Axiall, financing costs incurred in connection with the Merger, interest income, income or loss from equity method investments, dividend income, gains or losses from sales of securities, foreign exchange currency gains or losses, gain on acquisition, impairment of equity method investments, management fee income and other gains and losses.</w:t>
      </w:r>
    </w:p>
    <w:p>
      <w:pPr>
        <w:spacing w:after="0" w:line="24"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14, 2014, our Board of Directors authorized a two-for-one split of our common stock. Stockholders of record as of February 28, 2014 were entitled to one additional share for every share outstanding, which was distributed on March 18, 2014. All share amounts and per share data for the years prior to December 31, 2014 have been restated to reflect the effect of the two-for-one stock split.</w:t>
      </w:r>
    </w:p>
    <w:p>
      <w:pPr>
        <w:spacing w:after="0" w:line="19"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63" w:lineRule="exact"/>
        <w:rPr>
          <w:rFonts w:ascii="Arial" w:cs="Arial" w:eastAsia="Arial" w:hAnsi="Arial"/>
          <w:sz w:val="18"/>
          <w:szCs w:val="18"/>
          <w:color w:val="auto"/>
        </w:rPr>
      </w:pPr>
    </w:p>
    <w:p>
      <w:pPr>
        <w:ind w:left="420" w:right="84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dividends declared for the year ended December 31, 2012 includes a special dividend of $1.875 per share (on a post-split basis) paid on December 12, 2012.</w:t>
      </w:r>
    </w:p>
    <w:p>
      <w:pPr>
        <w:spacing w:after="0" w:line="8" w:lineRule="exact"/>
        <w:rPr>
          <w:rFonts w:ascii="Arial" w:cs="Arial" w:eastAsia="Arial" w:hAnsi="Arial"/>
          <w:sz w:val="18"/>
          <w:szCs w:val="18"/>
          <w:color w:val="auto"/>
        </w:rPr>
      </w:pPr>
    </w:p>
    <w:p>
      <w:pPr>
        <w:ind w:left="420" w:right="20" w:hanging="412"/>
        <w:spacing w:after="0" w:line="285"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EBITDA allows for meaningful company-to-company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flows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 performance measure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is a necessary element of our operations. We compensate for these limitations by relying primarily on our GAAP results and using EBITDA only supplementally. The following table reconciles EBITDA to net income and to net cash provided by operating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to Net Income and to Net Cash Provided by Operating Activities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38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1,078,836</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1,032,376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752,729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612,087</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and other</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(339,165)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(371,794)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(273,083)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(244,683)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520"/>
              <w:spacing w:after="0"/>
              <w:rPr>
                <w:sz w:val="20"/>
                <w:szCs w:val="20"/>
                <w:color w:val="auto"/>
              </w:rPr>
            </w:pPr>
            <w:r>
              <w:rPr>
                <w:rFonts w:ascii="Arial" w:cs="Arial" w:eastAsia="Arial" w:hAnsi="Arial"/>
                <w:sz w:val="18"/>
                <w:szCs w:val="18"/>
                <w:color w:val="auto"/>
              </w:rPr>
              <w:t>and equipment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 (losses) realized on previously held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of Axiall common stock and from</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sales of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16,429</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Gain on acquisition, net of loss on the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700" w:type="dxa"/>
            <w:vAlign w:val="bottom"/>
          </w:tcPr>
          <w:p>
            <w:pPr>
              <w:ind w:left="520"/>
              <w:spacing w:after="0"/>
              <w:rPr>
                <w:sz w:val="20"/>
                <w:szCs w:val="20"/>
                <w:color w:val="auto"/>
              </w:rPr>
            </w:pPr>
            <w:r>
              <w:rPr>
                <w:rFonts w:ascii="Arial" w:cs="Arial" w:eastAsia="Arial" w:hAnsi="Arial"/>
                <w:sz w:val="18"/>
                <w:szCs w:val="18"/>
                <w:color w:val="auto"/>
              </w:rPr>
              <w:t>fair value remeasurement of preexisting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700" w:type="dxa"/>
            <w:vAlign w:val="bottom"/>
          </w:tcPr>
          <w:p>
            <w:pPr>
              <w:ind w:left="520"/>
              <w:spacing w:after="0"/>
              <w:rPr>
                <w:sz w:val="20"/>
                <w:szCs w:val="20"/>
                <w:color w:val="auto"/>
              </w:rPr>
            </w:pPr>
            <w:r>
              <w:rPr>
                <w:rFonts w:ascii="Arial" w:cs="Arial" w:eastAsia="Arial" w:hAnsi="Arial"/>
                <w:sz w:val="18"/>
                <w:szCs w:val="18"/>
                <w:color w:val="auto"/>
              </w:rPr>
              <w:t>equity interest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Write-off of debt issuance costs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5,793</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Windfall tax benefits from share-based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520"/>
              <w:spacing w:after="0"/>
              <w:rPr>
                <w:sz w:val="20"/>
                <w:szCs w:val="20"/>
                <w:color w:val="auto"/>
              </w:rPr>
            </w:pPr>
            <w:r>
              <w:rPr>
                <w:rFonts w:ascii="Arial" w:cs="Arial" w:eastAsia="Arial" w:hAnsi="Arial"/>
                <w:sz w:val="18"/>
                <w:szCs w:val="18"/>
                <w:color w:val="auto"/>
              </w:rPr>
              <w:t>payment arrangements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11,967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income from equity method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investments, net of dividends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gains (losses), net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665,045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685,016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610,425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385,555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298,396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199,614</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43,049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245,757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144,541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1,015,518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1,243,854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1,329,756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1,118,062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772,759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394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a vertically integrated global manufacturer and marketer of petrochemicals, polymers and building products. Our two principal operating segments are Olefins and Vinyls. We use the majority of our internally-produced basic chemicals to produce higher value-added chemicals and building products.</w:t>
      </w:r>
    </w:p>
    <w:p>
      <w:pPr>
        <w:spacing w:after="0" w:line="12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Consumption of the basic chemicals that we manufacture in the commodity portions of our olefins and vinyls processes has increased significantly since we began operations in 1986. Our olefins and vinyls products are some of the most widely used chemicals in the world and are upgraded into a wide variety of higher value-added chemical products used in many end-markets. Petrochemicals are typically manufactured in large volume by a number of different producers using widely available technologies. The petrochemical industry exhibits cyclical commodity characteristics, and margins are influenced by changes in the balance between supply and demand and the resulting operating rates, the level of general economic activity and the price of raw materials. The cycle is generally characterized by periods of tight supply, leading to high operating rates and margins, followed by a decline in operating rates and margins primarily as a result of excess new capacity additions. Due to the significant size of new plants, capacity additions are built in large increments and typically require several years of demand growth to be absorbed.</w:t>
      </w:r>
    </w:p>
    <w:p>
      <w:pPr>
        <w:spacing w:after="0" w:line="12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Since 2009 and continuing through 2016, a cost advantage for ethane-based ethylene producers over naphtha-based ethylene producers has allowed a strong export market for polyethylene, ethylene derivatives and higher margins for North American chemical producers, including Westlake. Continued strong global demand for polyethylene has resulted in improved operating margins and cash flows for our Olefins segment in recent years. However, we have seen a significant reduction in the cost advantage enjoyed by North American ethane-based ethylene producers due to lower crude oil prices, beginning in the third quarter of 2014 and continuing through 2016. Falling crude oil prices have resulted in reduced prices and margins and may continue to do so. However, our European operations rely primarily on feedstock derived from naphtha-based ethylene crackers and have benefited and may continue to benefit from lower crude oil prices. Looking forward, new olefins capacity additions in Asia, the Middle East and North America, a number of which have been announced in recent years, may lead to periods of over-supply and lower profitability. As a result, our Olefins segment operating margins may be negatively impacted.</w:t>
      </w:r>
    </w:p>
    <w:p>
      <w:pPr>
        <w:spacing w:after="0" w:line="14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Continued slow recovery in the U.S. construction markets and budgetary constraints in municipal spending have contributed to lower North American demand for our vinyls products, which may continue to negatively impact our Vinyls segment operating rates and margins. Likewise, European industry production capacities currently exceed demand in the region, largely due to the weak economic environment in Europe. However, since late 2010, the PVC industry in North America has experienced an increase in PVC resin export demand, driven largely by more competitive feedstock and energy cost positions in North America. As a consequence, North American PVC resin industry operating rates have improved since 2010, largely due to higher PVC resin export shipments. In addition, the July 2014 acquisition of Vinnolit Holdings GmbH and its subsidiary companies ("Vinnolit"), an integrated global leader in specialty PVC resins, have contributed to improved operating margins and cash flows for our Vinyls segment. Globally, there were large chlor-alkali capacity additions between 2008 and 2015 resulting in excess capacity and lower industry operating rates which exerted downward pressure on caustic soda pricing. Most announced capacity is now complete and improving demand driven by modest economic growth and North American producers' competitive export position is expected to result in improved operating rates and caustic soda pricing. On August 31, 2016, we completed the acquisition of Axiall Corporation ("Axiall"). The combined company is the third-largest global chlor-alkali producer and the third-largest global PVC producer.</w:t>
      </w:r>
    </w:p>
    <w:p>
      <w:pPr>
        <w:spacing w:after="0" w:line="11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economic environment in the United States and globally appears to be slowly improving. However, depending on the performance of the global economy in the remainder of 2017 and beyond, our financial condition, results of operations or cash flows may still be negatively impacted. In addition, the European economy has been slower to recover than the U.S. economy.</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purchase significant amounts of ethane feedstock, natural gas, ethylene and salt from external suppliers for use in production of basic chemicals in the olefins and vinyls chains. We also purchase significant amounts of electricity to supply the energy required in our production processes. While we have agreements providing for the supply of ethane feedstock, natural gas, ethylene, salt and electricity, the contractual prices for these raw materials and energy vary with market conditions and may be highly volatile. Factors that have caused volatility in our raw material prices in the past, and which may do so in the future include:</w:t>
      </w:r>
    </w:p>
    <w:p>
      <w:pPr>
        <w:spacing w:after="0" w:line="53" w:lineRule="exact"/>
        <w:rPr>
          <w:sz w:val="20"/>
          <w:szCs w:val="20"/>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feedstock from shale gas and oil drilling;</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and demand for crude oil;</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raw materials due to increasing demand;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ethane and liquefied natural gas exports;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2" w:right="2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capacity constraints due to higher construction costs for investments, construction delays, strike action or involuntary shutdowns;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level of business and economic activity;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direct or indirect effect of governmental regulation.</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Significant volatility in raw material costs tends to put pressure on product margins as sales price increases could lag behind raw material cost increases. Conversely, when raw material costs decrease, customers may seek immediate relief in the form of lower sales prices. We currently use derivative instruments to reduce price volatility risk on feedstock commodities and lower overall costs. Normally, there is a pricing relationship between a commodity that we process and the feedstock from which it is derived. When this pricing relationship deviates from historical norms, we have from time to time entered into derivative instruments and physical positions in an attempt to take advantage of this relationship.</w:t>
      </w:r>
    </w:p>
    <w:p>
      <w:pPr>
        <w:spacing w:after="0" w:line="1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historical results have been significantly affected by our plant production capacity, our efficient use of that capacity and our ability to increase capacity. Since our inception, we have followed a disciplined growth strategy that focuses on plant acquisitions, new plant construction and internal expansion. We evaluate each expansion project on the basis of its ability to produce sustained returns in excess of our cost of capital and its ability to improve efficiency or reduce operating costs. We also regularly look at acquisition opportunities that would be consistent with or complimentary to our overall business strategies. Depending on the size of the acquisition, any such acquisitions could require external financing.</w:t>
      </w:r>
    </w:p>
    <w:p>
      <w:pPr>
        <w:spacing w:after="0" w:line="11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noted above in Item 1A, "Risk Factors," we are subject to extensive environmental regulations, which may impose significant additional costs on our operations in the future. Further, concerns about GHG emissions and their possible effects on climate change has led to the enactment of regulations, and to proposed legislation and additional regulations, that could affect us in the form of increased cost of feedstocks and fuel, other increased costs of production and decreased demand for our products. While we do not expect any of these enactments or proposals to have a material adverse effect on us in the near term, we cannot predict the longer-term effect of any of these regulations or proposals on our future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August 31, 2016, we completed the acquisition of Axiall for $33.00 per share in an all-cash transaction (the "Merger"), pursuant to the terms of the Agreement and Plan of Merger (the "Merger Agreement"), dated as of June 10, 2016, by and among Westlake, Axiall and Lagoon Merger Sub, Inc., a wholly-owned subsidiary of Westlake. The combined company is the third-largest global chlor-alkali producer and the third-largest global PVC producer. During the third quarter of 2016, in order to finance a portion of the consideration and related fees and expenses, and for other general corporate purposes, we issued $1.45 billion aggregate principal amount of senior notes. In addition, we entered into a $1.0 billion unsecured revolving credit facility (the "Credit Agreement").</w:t>
      </w:r>
    </w:p>
    <w:p>
      <w:pPr>
        <w:spacing w:after="0" w:line="13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July 2016, OpCo completed planned major maintenance activities, or a turnaround, of its Petro 1 ethylene unit at our Lake Charles, Louisiana site. In conjunction with this turnaround, OpCo also completed an upgrade and capacity expansion of the Petro 1 ethylene unit. The Petro 1 expansion project is expected to increase ethylene capacity by approximately 250 million pounds annually. Income from operations for the third quarter of 2016 was negatively impacted as a result of the lost production, unabsorbed fixed manufacturing costs and other costs related to the planned turnaround and expansion.</w:t>
      </w:r>
    </w:p>
    <w:p>
      <w:pPr>
        <w:spacing w:after="0" w:line="10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Calvert City facility experienced an unplanned outage that lasted from June 1, 2016 until mid July 2016. The unplanned outage was caused by a mechanical failure of OpCo's ethylene unit, which resulted in a complete outage of the facility and halted all production, including the production of EDC, VCM, chlor-alkali and PVC resin. Income from operations for the third quarter of 2016 was negatively impacted as a result of the lost production, unabsorbed fixed manufacturing costs and other costs related to the unplanned outage.</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January 2016, OpCo announced an expansion project to increase the ethylene capacity of its ethylene plant at our Calvert City facility. The expansion, along with other initiatives, is expected to increase ethylene capacity by approximately 100 million pounds annually and is targeted for completion during the first half of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385"/>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6"/>
          </w:tcPr>
          <w:p>
            <w:pPr>
              <w:jc w:val="center"/>
              <w:ind w:left="652"/>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1140" w:type="dxa"/>
            <w:vAlign w:val="bottom"/>
          </w:tcPr>
          <w:p>
            <w:pPr>
              <w:spacing w:after="0"/>
              <w:rPr>
                <w:sz w:val="24"/>
                <w:szCs w:val="24"/>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external sales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Olefins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1,650,964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1,922,535</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431,227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609,149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801,155</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Olefins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1,893,634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2,260,113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2,723,690</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Vinyls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2,492,562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1,718,359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1,203,332</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689,260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484,864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488,328</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Vinyls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3,181,822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2,203,223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1,691,660</w:t>
            </w:r>
          </w:p>
        </w:tc>
      </w:tr>
      <w:tr>
        <w:trPr>
          <w:trHeight w:val="297"/>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5,075,456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4,463,336</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4,415,350</w:t>
            </w:r>
          </w:p>
        </w:tc>
      </w:tr>
      <w:tr>
        <w:trPr>
          <w:trHeight w:val="284"/>
        </w:trPr>
        <w:tc>
          <w:tcPr>
            <w:tcW w:w="6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557,806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747,436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1,013,825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Vinyls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174,141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254,452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142,740</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(32,574)</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 income from operations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581,454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959,827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1,123,991</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56,398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38,270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298,396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398,902</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419,859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665,045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685,016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6,493</w:t>
            </w: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398,859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646,010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678,523</w:t>
            </w: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23495</wp:posOffset>
            </wp:positionV>
            <wp:extent cx="3593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60" w:type="dxa"/>
            <w:vAlign w:val="bottom"/>
          </w:tcPr>
          <w:p>
            <w:pPr>
              <w:spacing w:after="0"/>
              <w:rPr>
                <w:sz w:val="13"/>
                <w:szCs w:val="13"/>
                <w:color w:val="auto"/>
              </w:rPr>
            </w:pPr>
          </w:p>
        </w:tc>
        <w:tc>
          <w:tcPr>
            <w:tcW w:w="172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w:t>
            </w:r>
          </w:p>
        </w:tc>
        <w:tc>
          <w:tcPr>
            <w:tcW w:w="170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0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vMerge w:val="continue"/>
          </w:tcPr>
          <w:p>
            <w:pPr>
              <w:spacing w:after="0"/>
              <w:rPr>
                <w:sz w:val="16"/>
                <w:szCs w:val="16"/>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sales price and volume percentage change</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from prior year</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Olefins</w:t>
            </w:r>
          </w:p>
        </w:tc>
        <w:tc>
          <w:tcPr>
            <w:tcW w:w="136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Company average</w:t>
            </w:r>
          </w:p>
        </w:tc>
        <w:tc>
          <w:tcPr>
            <w:tcW w:w="136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r>
      <w:tr>
        <w:trPr>
          <w:trHeight w:val="270"/>
        </w:trPr>
        <w:tc>
          <w:tcPr>
            <w:tcW w:w="71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Ethane (cents/lb)</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70"/>
        </w:trPr>
        <w:tc>
          <w:tcPr>
            <w:tcW w:w="71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58.4</w:t>
            </w:r>
          </w:p>
        </w:tc>
      </w:tr>
      <w:tr>
        <w:trPr>
          <w:trHeight w:val="270"/>
        </w:trPr>
        <w:tc>
          <w:tcPr>
            <w:tcW w:w="71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Polyethylene (cents/lb) </w:t>
            </w:r>
            <w:r>
              <w:rPr>
                <w:rFonts w:ascii="Arial" w:cs="Arial" w:eastAsia="Arial" w:hAnsi="Arial"/>
                <w:sz w:val="25"/>
                <w:szCs w:val="25"/>
                <w:color w:val="auto"/>
                <w:vertAlign w:val="superscript"/>
              </w:rPr>
              <w:t>(3)</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r>
      <w:tr>
        <w:trPr>
          <w:trHeight w:val="270"/>
        </w:trPr>
        <w:tc>
          <w:tcPr>
            <w:tcW w:w="71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Styrene (cents/lb) </w:t>
            </w:r>
            <w:r>
              <w:rPr>
                <w:rFonts w:ascii="Arial" w:cs="Arial" w:eastAsia="Arial" w:hAnsi="Arial"/>
                <w:sz w:val="25"/>
                <w:szCs w:val="25"/>
                <w:color w:val="auto"/>
                <w:vertAlign w:val="superscript"/>
              </w:rPr>
              <w:t>(4)</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82.1</w:t>
            </w:r>
          </w:p>
        </w:tc>
      </w:tr>
      <w:tr>
        <w:trPr>
          <w:trHeight w:val="270"/>
        </w:trPr>
        <w:tc>
          <w:tcPr>
            <w:tcW w:w="71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Caustic ($/short ton) </w:t>
            </w:r>
            <w:r>
              <w:rPr>
                <w:rFonts w:ascii="Arial" w:cs="Arial" w:eastAsia="Arial" w:hAnsi="Arial"/>
                <w:sz w:val="25"/>
                <w:szCs w:val="25"/>
                <w:color w:val="auto"/>
                <w:vertAlign w:val="superscript"/>
              </w:rPr>
              <w:t>(5)</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589.4</w:t>
            </w:r>
          </w:p>
        </w:tc>
      </w:tr>
      <w:tr>
        <w:trPr>
          <w:trHeight w:val="270"/>
        </w:trPr>
        <w:tc>
          <w:tcPr>
            <w:tcW w:w="71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Chlorine ($/short ton) </w:t>
            </w:r>
            <w:r>
              <w:rPr>
                <w:rFonts w:ascii="Arial" w:cs="Arial" w:eastAsia="Arial" w:hAnsi="Arial"/>
                <w:sz w:val="25"/>
                <w:szCs w:val="25"/>
                <w:color w:val="auto"/>
                <w:vertAlign w:val="superscript"/>
              </w:rPr>
              <w:t>(6)</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233.5</w:t>
            </w:r>
          </w:p>
        </w:tc>
      </w:tr>
      <w:tr>
        <w:trPr>
          <w:trHeight w:val="270"/>
        </w:trPr>
        <w:tc>
          <w:tcPr>
            <w:tcW w:w="71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PVC (cents/lb) </w:t>
            </w:r>
            <w:r>
              <w:rPr>
                <w:rFonts w:ascii="Arial" w:cs="Arial" w:eastAsia="Arial" w:hAnsi="Arial"/>
                <w:sz w:val="25"/>
                <w:szCs w:val="25"/>
                <w:color w:val="auto"/>
                <w:vertAlign w:val="superscript"/>
              </w:rPr>
              <w:t>(7)</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average North American net transaction prices of polyethylene low density GP-Film grade over the period as reported by IHS Chemical.</w:t>
      </w:r>
    </w:p>
    <w:p>
      <w:pPr>
        <w:spacing w:after="0" w:line="86" w:lineRule="exact"/>
        <w:rPr>
          <w:rFonts w:ascii="Arial" w:cs="Arial" w:eastAsia="Arial" w:hAnsi="Arial"/>
          <w:sz w:val="16"/>
          <w:szCs w:val="16"/>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styrene over the period as reported by IHS Chemical.</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undiscounted contract prices of caustic soda over the period as reported by IHS Chemical.</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chlorine (into chemicals) over the period as reported by IHS Chemical.</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average North American contract prices of PVC over the period as reported by IHS Chemical.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For the year ended December 31, 2016, net income attributable to Westlake Chemical Corporation was $398.9 million, or $3.06 per diluted share, on net sales of $5,075.5 million. This represents a decrease in net income of $247.1 million, or $1.80 per diluted share, from 2015 net income attributable to Westlake Chemical Corporation of $646.0 million, or $4.86 per diluted share, on net sales of $4,463.3 million. Net income for the year ended December 31, 2016 was impacted by (1) pre-tax transaction and integration-related costs of approximately $103.7 million, or $0.52 per diluted share, associated with the Merger; (2) pre-tax unabsorbed fixed manufacturing costs and other costs associated with the turnaround and expansion of OpCo's Lake Charles Petro 1 ethylene unit and other planned turnarounds and unplanned outages totaling approximately $155.1 million, or $0.77 per diluted share; and (3) lost sales associated with such turnarounds and outages, partially offset by (4) a realized gain of approximately $49.1 million from the previously held outstanding shares of common stock of Axiall; and (5) a lower effective tax rate of 24.8%. The lower 2016 effective tax rate resulted from discrete items totaling $46.9 million, which decreased the tax provision for 2016, and are comprised of a net $12.9 million related to the non-recognition of tax on the gain recognized attributable to the previously held outstanding shares of common stock of Axiall, partially offset by non-deductible Axiall acquisition costs, and $34.0 million related to return to provision, amended returns, changes in state apportionment and other adjustments. Net sales for the year ended December 31, 2016 increased $612.2 million to $5,075.5 million compared to net sales for the year ended December 31, 2015 of $4,463.3 million, primarily due to sales contributed by Axiall and higher sales volume for PVC resin, partially offset by lower sales prices for all our major products and lower sales volumes for our major olefins products. Income from operations was $581.5 million for the year ended December 31, 2016 as compared to $959.8 million for the year ended December 31, 2015, a decrease of $378.3 million. The decrease in 2016 income from operations was mainly attributable to lower sales prices for all our major products, transaction and integration-related costs associated with the Merger and the lost sales, lower production rates, unabsorbed fixed manufacturing costs and other costs associated with the turnaround and expansion of OpCo's Lake Charles Petro 1 ethylene unit and other planned turnarounds and unplanned outages. The decrease in income from operations for the year ended December 31, 2016 was partially offset by lower average feedstock and energy costs and higher product margins at our European operations, as compared to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9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by $612.2 million, or 13.7%, to $5,075.5 million in 2016 from $4,463.3 million in 2015. This increase was mainly</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sales contributed by Axiall and higher sales volume for PVC resin, partially offset by lower sales prices for all our major products and lower sales volumes for our major olefins products, as compared to the prior year. Average sales prices for 2016 decreased by 6.4% as compared to 2015. Sales prices for the year ended December 31, 2016 were negatively impacted by lower crude oil prices as compared to the prior year. Overall sales volumes increased by 20.1% in 2016 as compared to 2015, primarily attributable to sales contributed by Axiall, as compared to the prior year.</w:t>
      </w:r>
    </w:p>
    <w:p>
      <w:pPr>
        <w:spacing w:after="0" w:line="11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margin percentage decreased to 19.3% in 2016 from 26.6% in 2015. The decrease in gross profit margin percentage was</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the result of lower sales prices for our major products, as compared to the prior year, and the lost sales, lower production rates, unabsorbed fixed manufacturing costs and other costs associated with the turnaround and expansion of OpCo's Lake Charles Petro 1 ethylene unit, the unplanned outage at our Calvert City facility and other planned turnarounds and unplanned outages. Sales prices decreased an average of 6.4% for the year ended December 31, 2016 as compared to 2015. In addition, gross profit for the year ended December 31, 2016 included the negative impact of selling higher cost Axiall inventory recorded at fair value. The decrease in gross profit for the year ended December 31, 2016 was partially offset by lower average feedstock and energy costs and higher product margins at our European operations, as compared to the prior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$70.0 million, or 31.1%, in 2016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increase was mainly attributable to general and administrative costs incurred by Axiall for the period from August 31, 2016 to December 31, 2016, partially offset by lower consulting and professional fees, as compared to 2015.</w:t>
      </w:r>
    </w:p>
    <w:p>
      <w:pPr>
        <w:spacing w:after="0" w:line="127"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i w:val="1"/>
          <w:iCs w:val="1"/>
          <w:color w:val="auto"/>
        </w:rPr>
        <w:t>Transaction and Integration-related Costs</w:t>
      </w:r>
      <w:r>
        <w:rPr>
          <w:rFonts w:ascii="Arial" w:cs="Arial" w:eastAsia="Arial" w:hAnsi="Arial"/>
          <w:sz w:val="16"/>
          <w:szCs w:val="16"/>
          <w:color w:val="auto"/>
        </w:rPr>
        <w:t>. Transaction and integration-related costs were $103.7 million in 2016 and primarily consisted of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provided to former Axiall executives in conjunction with the Merger, including the conversion of Axiall restricted stock units into our restricted stock units, transitional service expenses for certain former Axiall employees, retention agreement costs and consulting and professional fees related to the Merger.</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$44.8 million to $79.5 million in 2016 from $34.7 million in 2015, largely as a result of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debt outstanding, partially offset by increased capitalized interest on major capital projects in 2016 as compared to 2015. See "Liquidity and Capital Resources—Debt" below for a further discussion of our indebtedness.</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increased $18.1 million to $56.4 million in 2016 from $38.3 million in 2015.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realized gain of approximately $49.1 million from the previously held outstanding shares of common stock of Axiall and higher interest income for 2016 as compared to the prior year, partially offset by the expenses related to the bridge loan facility and other financing costs in connection with the Merger. Other income (expense), net for 2015 included a gain of approximately $15.5 million related to the bargain purchase gain from the acquisition of a controlling interest in Suzhou Huasu Plastics Co., Ltd. ("Huasu"), net of related expenses, partially offset by the impairment and loss from the disposition of an equity method investment.</w:t>
      </w:r>
    </w:p>
    <w:p>
      <w:pPr>
        <w:spacing w:after="0" w:line="13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effective income tax rate was 24.8% in 2016 as compared to 31.0% in 2015. The effective income tax rate for 2016 was below the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statutory rate of 35.0% primarily due to the benefit of state tax credits, the domestic manufacturing deduction, depletion deductions, income attributable to noncontrolling interests, the non-recognition of tax related to the gain recognized on previously held outstanding shares of common stock of Axiall, the benefit in prior years' and current-year tax credits for increased research and development expenditures and adjustments related to prior years' tax returns as filed, change in state apportionment and the foreign earnings rate differential, partially offset by state income taxes and nondeductible transaction costs related to the Merger. The effective income tax rate for 2015 was below the U.S. federal statutory rate of 35.0% primarily due to the benefit of state tax credits, the domestic manufacturing deduction, income attributable to noncontrolling interests, the non-recognition of tax related to the bargain purchase of a controlling interest in Huasu, the foreign earnings rate differential and the increased benefit in certain prior years' deductions due to a change in the calculation methodology of the domestic manufacturing deduction and adjustments related to prior years' tax returns as filed, partially offset by state 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 Segment</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by $366.5 million, or 16.2%, to $1,893.6 million in 2016 from $2,260.1 million in 2015, mainly due to lower sales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major products and lower sales volumes for most of our major products as compared to the prior year. Average sales prices for the Olefins segment decreased by 8.9% in 2016 as compared to 2015, while average sales volumes decreased by 7.3% in 2016 as compared to 2015.</w:t>
      </w:r>
    </w:p>
    <w:p>
      <w:pPr>
        <w:spacing w:after="0" w:line="11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was $557.8 million in 2016 as compared to $747.4 million in 2015. This decrease was predominantly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lower olefins integrated product margins, primarily as a result of lower sales prices as compared to 2015, and the lost sales, lower production rates, unabsorbed fixed manufacturing costs and other costs related to the turnaround and expansion of OpCo's Lake Charles Petro 1 ethylene unit and other planned turnarounds and unplanned outages in 2016. Trading activity for 2016 resulted in a gain of $19.7 million as compared to a loss of $11.4 million for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 Segment</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$978.6 million, or 44.4%, to $3,181.8 million in 2016 from $2,203.2 million in 2015.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sales contributed by Axiall and higher sales volume for PVC resin, partially offset by lower sales prices for our major products. Average sales prices for the Vinyls segment decreased by 3.8% in 2016 as compared to 2015. Average sales volumes increased by 48.3% in 2016 as compared to 2015, primarily related to sales contributed by Axiall, as compared to the prior year.</w:t>
      </w:r>
    </w:p>
    <w:p>
      <w:pPr>
        <w:spacing w:after="0" w:line="13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was $174.1 million in 2016 as compared to $254.5 million in 2015. This decrease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lost sales, lower production rates, unabsorbed fixed manufacturing costs and other costs associated with the unplanned outage at our Calvert City facility and the planned turnaround at our Lake Charles vinyls facility in 2016. Income from operations for the year ended December 31, 2016 was also lower as a result of lower sales prices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our major products, partially offset by higher product margins at our European operations, as compared to 2015. In addition, income from operations for the year ended December 31, 2016 included the negative impact of selling higher cost Axiall inventory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$47.9 million, or 1.1%, to $4,463.3 million in 2015 from $4,415.4 million in 2014. This increase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sales contributed by Vinnolit (primarily as a result of the inclusion of its operations in our consolidated financial statements for the full year 2015 as opposed to only five months in 2014) and, to a lesser extent, Huasu, and higher sales volumes for most of our major products, partially offset by lower sales prices for all our major products, as compared to the prior year. Average sales prices for 2015 decreased by 25.3% as compared to 2014. Sales prices for the year ended December 31, 2015 were negatively impacted by the significant decline in crude oil prices. Overall sales volume increased by 26.3% in 2015 as compared to 2014.</w:t>
      </w:r>
    </w:p>
    <w:p>
      <w:pPr>
        <w:spacing w:after="0" w:line="13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margin percentage decreased to 26.6% in 2015 from 29.8% in 2014. The decrease in gross profit margin percentage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the result of lower olefins integrated product margins primarily due to lower sales prices. Sales prices decreased an average of 25.3% for the year ended December 31, 2015 as compared to 2014. In addition, gross profit for the year ended December 31, 2015 was negatively impacted by lost sales, lower production rates, unabsorbed fixed manufacturing costs and other costs associated with turnarounds at our various facilities. The decrease in gross profit for the year ended December 31, 2015 was partially offset by lower average feedstock and energy costs and higher vinyls integrated product margins, primarily attributable to lower feedstock costs, increased production at our Calvert City facilities following the completion of OpCo's feedstock conversion and ethylene expansion project and higher production rates at our Geismar chlor-alkali plant, as compared to the prior year.</w:t>
      </w:r>
    </w:p>
    <w:p>
      <w:pPr>
        <w:spacing w:after="0" w:line="11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$41.7 million, or 22.7%, in 2015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2014. The increase was mainly attributable to general and administrative costs incurred by Vinnolit and, to a lesser extent, Huasu for the year ended December 31, 2015, an increase in payroll and related labor costs, including incentive compensation, and an increase in consulting and professional fees, as compared to 2014.</w:t>
      </w:r>
    </w:p>
    <w:p>
      <w:pPr>
        <w:spacing w:after="0" w:line="133"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$2.7 million to $34.7 million in 2015 from $37.4 million in 2014, largely as a result of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interest on major capital projects in 2015 as compared to 2014. Debt balances during 2015 remained relatively unchanged compared to 2014.</w:t>
      </w:r>
    </w:p>
    <w:p>
      <w:pPr>
        <w:spacing w:after="0" w:line="7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other income, net of $38.3 million in 2015 compared to other expense, net of $2.7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2014, primarily attributable to the bargain purchase gain from the acquisition of a controlling interest in Huasu, net of related expenses, of approximately $20.4 million, gains on foreign exchange, gains from the sales of securities and dividends received from cost method investments, partially offset by an impairment and loss from the disposition of an equity method investment.</w:t>
      </w:r>
    </w:p>
    <w:p>
      <w:pPr>
        <w:spacing w:after="0" w:line="13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effective income tax rate was 31.0% in 2015 as compared to 36.8% in 2014. The effective income tax rate for 2015 was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statutory rate of 35.0% primarily due to the benefit of state tax credits, the domestic manufacturing deduction, income attributable to noncontrolling interests, the non-recognition of tax related to the bargain purchase of a controlling interest in Huasu, the foreign earnings rate differential and the increased benefit in certain prior years' deductions due to a change in the calculation methodology of the domestic manufacturing deduction and adjustments related to prior years' tax returns as filed, partially offset by state income taxes. The effective income tax rate for 2014 was above the U.S. federal statutory rate of 35.0% primarily due to state income taxes, partially offset by state tax credits and the domestic manufacturing deduction.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Olefins Segment</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by $463.6 million, or 17.0%, to $2,260.1 million in 2015 from $2,723.7 million in 2014, mainly due to lower sales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major products, partially offset by higher sales volumes for our major products as compared to the prior year. Average sales prices for the Olefins segment decreased by 29.2% in 2015 as compared to 2014, while average sales volumes increased by 12.2% in 2015 as compared to 2014.</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was $747.4 million in 2015 as compared to $1,013.8 million in 2014. This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attributable to lower olefins integrated product margins, primarily as a result of lower sales prices, partially offset by higher sales volumes and lower feedstock and energy costs for 2015 as compared to 2014. Trading activity for 2015 resulted in a loss of $11.4 million as compared to a loss of $9.7 million for 2014.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Vinyls Segment</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by $511.5 million, or 30.2%, to $2,203.2 million in 2015 from $1,691.7 million in 2014.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sales contributed by Vinnolit and, to a lesser extent, Huasu and higher sales volumes for caustic soda and PVC resin, partially offset by lower sales prices for our major products. Average sales prices for the Vinyls segment decreased by 18.9% in 2015 as compared to 2014. Average sales volumes increased by 49.1% in 2015 as compared to 2014, primarily related to sales contributed by Vinnolit and, to a lesser extent, Huasu, as compared to the prior year.</w:t>
      </w:r>
    </w:p>
    <w:p>
      <w:pPr>
        <w:spacing w:after="0" w:line="134"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Income from operations was $254.5 million in 2015 as compared to $142.7 million in 2014. This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higher vinyls integrated product margins for the year ended December 31, 2015, mainly attributable to the contribution from Vinnolit, lower feedstock costs and increased production at our Calvert City facilities following the completion of OpCo's feedstock conversion and ethylene expansion project and higher caustic soda sales volume primarily attributable to higher production rates at our Geismar chlor-alkali plant, as compared to 2014. The increase in income from operations for the year ended December 31, 2015 was partially offset by lost sales, lower production rates and other costs associated with the turnarounds at our various North American and European facilities, lower sales prices for our major products and reduced sales volume in Europe related to an ethylene shortage. Income from operations for 2014 was negatively impacted by the effect of selling higher cost Vinnolit inventory recorded at fair value as a result of the acquisition, the lost sales, lower production rates and other costs associated with the turnaround at our Calvert City facilities and OpCo's Calvert City ethylene plant's feedstock conversion and expansion project and, prior to the completion of OpCo's Calvert City ethylene plant's feedstock conversion project, lower vinyls integrated product margins attributable to significantly higher propane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Operating activities provided cash of $833.9 million in 2016 compared to cash provided of $1,078.8 million in 2015. The $244.9 million decrease in cash flows from operating activities was mainly due to a decrease in income from operations, an increase in working capital requirements and an increase in deferred turnaround costs associated with OpCo's Lake Charles Petro 1 turnaround, partially offset by lower income taxes paid as compared to 2015. Income from operations decreased by $378.3 million in 2016, as compared to the prior year, mostly attributable to (1) lower sales prices for all our major products;</w:t>
      </w:r>
    </w:p>
    <w:p>
      <w:pPr>
        <w:spacing w:after="0" w:line="2" w:lineRule="exact"/>
        <w:rPr>
          <w:sz w:val="20"/>
          <w:szCs w:val="20"/>
          <w:color w:val="auto"/>
        </w:rPr>
      </w:pPr>
    </w:p>
    <w:p>
      <w:pPr>
        <w:ind w:right="60" w:firstLine="8"/>
        <w:spacing w:after="0" w:line="290"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transaction and integration-related costs associated with the Merger; and (3) the lost sales, lower production rates, unabsorbed fixed manufacturing costs and other costs associated with the turnaround and expansion of OpCo's Lake Charles Petro 1 ethylene unit, the unplanned outage at our Calvert City facility and other planned turnarounds and unplanned outages. Changes in components of working capital, which we define for purposes of this cash flow discussion as accounts receivable, net, inventories, prepaid expenses and other current assets, less accounts payable and accrued liabilities, provided cash of $60.0 million in 2016, compared to $128.6 million of cash provided in 2015, an unfavorable change of $68.6 million. The change was mainly due to an increase of $161.4 million in inventory, partially offset by a decrease in current liabilities (accounts payable and accrued liabilities) of $89.5 million.</w:t>
      </w:r>
    </w:p>
    <w:p>
      <w:pPr>
        <w:spacing w:after="0" w:line="11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Operating activities provided cash of $1,078.8 million in 2015 compared to cash provided of $1,032.4 million in 2014. The $46.4 million increase in cash flows from operating activities was mainly due to a decrease in working capital requirements, as compared to 2014. Cash flows from operating activities for 2014 were negatively impacted by costs related to the formation and initial public offering of Westlake Partners and costs associated with the acquisition of Vinnolit, our specialty PVC resin business. Changes in components of working capital provided cash of $128.6 million in 2015, compared to $69.6 million of cash provided in 2014, a favorable change of $59.0 million. The change was mainly due to lower accounts receivable and inventory balances mainly as a result of lower product prices during 2015, partially offset by a decrease in current liabilities, as compared to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Net cash used for investing activities during 2016 was $2,562.8 million as compared to net cash used of $1,006.2 million in 2015. We used $2,437.8 million, net of cash acquired, for the acquisition of Axiall. Capital expenditures were $628.5 million in 2016 compared to $491.4 million in 2015. Capital expenditures in 2016 were mainly incurred on the upgrade and expansion of OpCo's Petro 1 ethylene unit at our Lake Charles site and OpCo's Calvert City ethylene plant at our Calvert City site. Capital expenditures in 2015 were primarily incurred on the upgrade and expansion of OpCo's Petro 1 ethylene unit at our Lake Charles site. The remaining capital expenditures in 2016 and 2015 primarily related to projects to improve production capacity or reduce costs, maintenance and safety projects and environmental projects at our various facilities. Purchases of securities in 2016 totaled $138.4 million and were comprised of corporate debt securities, U.S. government debt securities and equity securities. We also received aggregate proceeds of $662.9 million from the sales and maturities of our investments in 2016. The 2015 activity was primarily related to the purchases of securities and the receipt of proceeds from the sales and maturities of</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our investments. In addition, we acquired cash of $15.8 million, net of cash paid, in connection with the acquisition of a controlling interest in Huasu.</w:t>
      </w:r>
    </w:p>
    <w:p>
      <w:pPr>
        <w:spacing w:after="0" w:line="18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Net cash used for investing activities during 2015 was $1,006.2 million as compared to net cash used of $773.2 million in 2014. Capital expenditures were $491.4 million in 2015 compared to $431.1 million in 2014. Purchases of securities in 2015 totaled $605.1 million and were comprised of corporate debt securities, U.S. government debt securities and equity securities. In connection with the Vinnolit acquisition in 2014, we had previously sold similar securities to raise the cash used to purchase Vinnolit. Capital expenditures in 2015 were mainly incurred on the upgrade and expansion of OpCo's Petro 1 ethylene unit at our Lake Charles site. Capital expenditures in 2014 were mainly incurred on OpCo's feedstock conversion and ethylene expansion project and our PVC plant expansion project at our Calvert City site and the upgrade and expansion of OpCo's Petro 1 ethylene unit at our Lake Charles site. The remaining capital expenditures in 2015 and 2014 primarily related to projects to improve production capacity or reduce costs, maintenance and safety projects and environmental projects at our various facilities. We acquired cash of $15.8 million, net of cash paid, in connection with the acquisition of Huasu. We also received aggregate proceeds of $48.9 million from the sales and maturities of our investments in 2015. Other 2014 activity was primarily related to the acquisition of Vinnolit, the capital expenditures described above, the purchase of securities and the receipt of proceeds from the sales and maturities of our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provided by financing activities during 2016 was $1,533.2 million as compared to net cash used of $286.8 million in 2015. Net proceeds from</w:t>
      </w:r>
    </w:p>
    <w:p>
      <w:pPr>
        <w:spacing w:after="0" w:line="46" w:lineRule="exact"/>
        <w:rPr>
          <w:sz w:val="20"/>
          <w:szCs w:val="20"/>
          <w:color w:val="auto"/>
        </w:rPr>
      </w:pPr>
    </w:p>
    <w:p>
      <w:pPr>
        <w:ind w:right="20" w:firstLine="8"/>
        <w:spacing w:after="0" w:line="290"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issuance of senior notes and (2) our term loan and the drawdown of the Credit Agreement were $1,428.5 million and $600.0 million, respectively, partially offset by the $125.0 million partial repayment of the Credit Agreement in 2016. The remaining 2016 activity was primarily related to the $96.6 million payment of cash dividends, the $16.6 million payment of cash distributions to noncontrolling interests, the $35.8 million payment of debt issuance costs and the $67.4 million of cash used for the repurchases of shares of our common stock, partially offset by the receipt of proceeds of $2.2 million from the exercise of stock options. The 2015 activity was mainly related to the payment of cash dividends, the payment of cash distributions to noncontrolling interests, the proceeds from and the repayments of Huasu's short-term notes payable to banks and the repurchase of shares of our common stock.</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for financing activities during 2015 was $286.8 million as compared to net cash provided of $164.6 million in 2014. The 2015 activity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 primarily related to the $91.6 million payment of cash dividends, the $14.9 million payment of cash distributions to noncontrolling interests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$162.5 million of cash used for the repurchases of shares of our common stock, partially offset by the receipt of proceeds of $1.1 million from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In addition, we repaid $73.6 million of Huasu's short-term notes payable to banks in connection with the payment of suppliers through letters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partially offset by $53.0 million of proceeds received by Huasu from the issuance of such letters of credit. The 2014 activity was mainly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$286.1 million net proceeds from the initial public offering of Westlake Partners common units and the proceeds from the exercise of stock options,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the payment of cash dividends and the repurchase of shares of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principal sources of liquidity are from cash and cash equivalents, cash from operations, short-term borrowings under the Credit Agreement and our long-term financing.</w:t>
      </w:r>
    </w:p>
    <w:p>
      <w:pPr>
        <w:spacing w:after="0" w:line="116"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In January 2016, OpCo announced an expansion project to increase the ethylene capacity of its ethylene plant at our Calvert City facility. The expansion, along with other initiatives, is expected to increase ethylene capacity by approximately 100 million pounds annually and is targeted for completion during the first half of 2017. This capital project is currently estimated to cost in the range of $70.0 million to $80.0 million and is expected to be funded with cash on hand, cash flow from operations, and, if necessary, borrowings under each of the Credit Agreement and OpCo's revolving credit facility with another subsidiary of ours and other external financing. As of December 31, 2016, OpCo had incurred a total cost of approximately $38.1 million on the Calvert City ethylene expansion capital project.</w:t>
      </w:r>
    </w:p>
    <w:p>
      <w:pPr>
        <w:spacing w:after="0" w:line="13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November 2014, our Board of Directors authorized a $250.0 million stock repurchase program (the "2014 Program"). In November 2015, our Board of Directors approved the expansion of the 2014 Program by an additional $150.0 million. As of December 31, 2016, we had repurchased 4,193,598 shares of our common stock for an aggregate purchase price of approximately $228.7 million under the 2014 Program. During the three months ended December 31, 2016, no shares of our common stock were repurchased under the 2014 Program. Purchases under the 2014 Program may be made either through the open market or in privately negotiated transactions. Decisions regarding the amount and the timing of purchases under the 2014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Program will be influenced by our cash on hand, our cash flow from operations, general market conditions and other factors. The 2014 Program may be discontinued by our Board of Directors at any time.</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connection with the Merger, we became party to a joint venture investment with Lotte Chemical USA Corporation ("Lotte") to build an ethylene facility, LACC, LLC ("LACC"). The ethylene facility is located adjacent to our vinyls facility in Lake Charles. Pursuant to the contribution and subscription agreement, we agreed to make a maximum capital commitment to LACC of up to $225.0 million to fund the construction costs of the ethylene plant, which represents approximately 10% of the interests in LACC. The construction of the ethylene plant commenced in January 2016, with an anticipated start-up during the first quarter of 2019. As of December 31, 2016, we had funded approximately $59.4 million of our portion of the construction costs of the ethylene plant.</w:t>
      </w:r>
    </w:p>
    <w:p>
      <w:pPr>
        <w:spacing w:after="0" w:line="13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believe that our sources of liquidity as described above will be adequate to fund our normal operations and ongoing capital expenditures. Funding of any potential large expansions or any potential acquisitions would likely necessitate and therefore depend on our ability to obtain additional financing in the future. We may not be able to access additional liquidity at cost effective interest rates due to the volatility of the commercial credit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of December 31, 2016, our cash and cash equivalents totaled $459.5 million. In addition, we have the Credit Agreement available to supplement cash if needed, as described under "Debt"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As of December 31, 2016, our indebtedness, including current maturities, totaled $3.8 billion, consisting of $100.0 million of 6 ½% senior notes due 2029, $250.0 million of 6 ¾% senior notes due 2032, $89.0 million of 6 ½% senior notes due 2035 (the "6 ½% 2035 GO Zone Senior Notes"), $65.0 million of 6 ½% senior notes due 2035 (the "6 ½% 2035 IKE Zone Senior Notes") (all four senior notes above collectively, the "Senior Notes"), $624.8 million aggregate principal amount of 4.625% senior notes due 2021 (the "4.625% Westlake 2021 Senior Notes"), $63.2 million aggregate principal amount of the</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4.625% senior notes due 2021 (the "4.625% Subsidiary 2021 Senior Notes"), $250.0 million principal amount of 3.60% senior notes due 2022, $433.8 million aggregate principal amount of 4.875% senior notes due 2023 (the "4.875% Westlake 2023 Senior Notes"), $16.2 million aggregate principal amount of the</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4.875% senior notes due 2023 (the "4.875% Subsidiary 2023 Senior Notes"), $750.0 million aggregate principal amount of 3.60% senior notes due 2026 (the "3.60% 2026 Senior Notes"), $700.0 million aggregate principal amount of 5.0% senior notes due 2046 (the "5.0% 2046 Senior Notes"), $325.0 million of borrowings outstanding under the Credit Agreement, a $10.9 million loan from the proceeds of tax-exempt waste disposal revenue bonds (supported by an $11.3 million letter of credit) and a $150.0 million current term loan facility, plus unamortized premium net of unamortized discount and debt issuance costs of $0.8 million. The Senior Notes evidence and secure our obligations to the Louisiana Local Government Environmental Facility and Development Authority (the "Authority"), a political subdivision of the State of Louisiana, under four loan agreements relating to the issuance of $100.0 million, $250.0 million, $89.0 million and $65.0 million aggregate principal amount of the Authority's tax-exempt revenue bonds, respectively. As of December 31, 2016, debt outstanding under the Credit Agreement, tax-exempt waste disposal revenue bonds and the term loan facility bore interest at a variable rate. As of December 31, 2016, we were in compliance with all of the covenants with respect to the Senior Notes, the 4.625% Westlake 2021 Senior Notes, the 4.625% Subsidiary 2021 Senior Notes, the 3.60% senior notes due 2022, the 4.875% Westlake 2023 Senior Notes, the 4.875% Subsidiary 2023 Senior Notes, the 3.60% 2026 Senior Notes, the 5.0% 2046 Senior Notes, the Credit Agreement, our waste disposal revenue bonds and our term loan facility.</w:t>
      </w:r>
    </w:p>
    <w:p>
      <w:pPr>
        <w:spacing w:after="0" w:line="113"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the Credit Agreement will be adequate to meet our normal operating needs for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9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August 10, 2016, our indirect subsidiary, Westlake International Holdings II C.V., a limited partnership organized under the laws of the Netherlands (the "CV Borrower"), entered into a credit agreement with Bank of America, N.A., as agent and lender, providing the CV Borrower with a $150.0 million term loan facility. The loans thereunder bear interest at a floating interest rate equal to LIBOR plus 2.0% per annum, payable in arrears on the last day of each three-month period following the date of funding and at maturity. We repaid the term loan facility in January 2017.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August 23, 2016, we and certain of our subsidiaries entered into an unsecured revolving credit facility (the "Credit Agreement"), by and among us, the other borrowers and guarantors referred to therein, the lenders from time to time party thereto (collectively, the "Lenders"), the issuing banks party thereto and JPMorgan Chase Bank, National Association, as Administrative Agent. Under the Credit Agreement, the Lenders have committed to provide an unsecured five-year revolving credit facility in an aggregate principal amount of up to $1.0 billion. The Credit Agreement replaced our existing $400.0 million senior secured third amended and restated credit facility, dated as of July 17, 2014 (the "Prior ABL Credit Agreement"), by and among us, the financial institutions party thereto, as lenders, Bank of America, N.A., as agent, and us and certain of our subsidiaries, as borrowers. The Credit Agreement includes a $150.0 million sub-limit for letters of credit, and any outstanding letters of credit will be deducted from availability under the facility. The Credit Agreement also provides for a discretionary $50.0 million commitment for swing-line loans to be provided on a same-day basis. We may also increase the size of the facility, in increments of at least $25.0 million, up to a maximum of $500.0 million, subject to certain conditions and if certain Lenders agree to commit to such an increase. On October 14, 2016, certain domestic subsidiaries of Axiall and Lagoon LLC were added as subsidiary guarantors to the Credit Agreement.</w:t>
      </w:r>
    </w:p>
    <w:p>
      <w:pPr>
        <w:spacing w:after="0" w:line="13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At December 31, 2016, we had $325.0 million of borrowings outstanding under the Credit Agreement. Borrowings under the Credit Agreement will bear interest, at our option, at either (a) LIBOR plus a spread ranging from 1.0% to 1.75% that will vary depending on our credit rating or (b) Alternate Base Rate plus a spread ranging from 0.0% to 0.75% that will vary depending on our credit rating. The Credit Agreement also requires an undrawn commitment fee ranging from 0.10% to 0.25% that will vary depending on our credit rating. The Credit Agreement matures on August 23, 2021. As of December 31, 2016, we had outstanding letters of credit totaling $76.5 million and borrowing availability of $598.5 million under the Credit Agreement.</w:t>
      </w:r>
    </w:p>
    <w:p>
      <w:pPr>
        <w:spacing w:after="0" w:line="10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Our obligations under the Credit Agreement are guaranteed by our current and future material domestic subsidiaries, subject to certain exceptions. The Credit Agreement contains certain affirmative and negative covenants, including a quarterly total leverage ratio financial maintenance covenant. The Credit Agreement also contains certain events of default and if and for so long as an event of default has occurred and is continuing, any amounts outstanding under the Credit Agreement will accrue interest at an increased rate, the Lenders can terminate their commitments thereunder and payments of any outstanding amounts could be accelerated by the Lenders. As of December 31, 2016, we were in compliance with the total leverage ratio financial maintenance covenant.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 Zone Bonds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December 2010, the Authority completed the offering of $89.0 million of 6 ½% tax-exempt revenue bonds due November 1, 2035 under the Gulf Opportunity Zone Act of 2005 (the "GO Zone Act").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w:t>
      </w:r>
    </w:p>
    <w:p>
      <w:pPr>
        <w:spacing w:after="0" w:line="10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July 2010, the Authority completed the reoffering of $100.0 million of 6 ½% tax-exempt revenue bonds due August 1, 2029 under the GO Zone Act. The bonds are subject to optional redemption by the Authority upon the direction of the Company at any time prior to August 1, 2020 for 100% of the principal plus accrued interest and a discounted "make whole" payment. On or after August 1, 2020, the bonds are subject to optional redemption by the Authority upon the direction of the Company for 100% of the principal plus accrued interest.</w:t>
      </w:r>
    </w:p>
    <w:p>
      <w:pPr>
        <w:spacing w:after="0" w:line="133"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In December 2007, the Authority issued $250.0 million of 6 ¾% tax-exempt revenue bonds due November 1, 2032 under the GO Zone Act. The bonds are subject to optional redemption by the Authority upon the direction of the Company at any time prior to November 1, 2017 for 100% of the principal plus accrued interest and a discounted "make whole" payment. On or after November 1, 2017, the bonds are subject to optional redemption by the Authority upon the direction of the Company for 100% of the principal plus accrued interest.</w:t>
      </w:r>
    </w:p>
    <w:p>
      <w:pPr>
        <w:spacing w:after="0" w:line="133"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Each series of the bonds is subject to redemption and the holders may require the bonds to be repurchased upon a change of control or a change in or loss of the current tax status of the bonds. In addition, the bonds are subject to optional redemption by the Authority upon the direction of the Company if certain events have occurred in connection with the operation of the projects for which the bond proceeds may be used, including if the Company has determined that the continued operation of any material portion of the projects would be impracticable, uneconomical or undesirable for any reason.</w:t>
      </w:r>
    </w:p>
    <w:p>
      <w:pPr>
        <w:spacing w:after="0" w:line="100"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In connection with each offering of the bonds, we entered into a loan agreement with the Authority pursuant to which we agreed to pay all of the principal, premium, if any, and interest on the bonds and certain other amounts to the Authority. The net proceeds from the offerings were lent by the Authority to us. We used the proceeds to expand, refurbish and maintain certain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facilities in the Louisiana Parishes of Calcasieu and Ascension. The bonds are unsecured and rank equally in right of payment with other existing and future unsecured senior indebtedness. All domestic restricted subsidiaries that guarantee other debt of ours or of another guarantor of the Senior Notes in excess of $5.0 million are guarantors of the bonds. As of December 31, 2016, we had drawn all the proceeds from the 6 ½% bonds due 2029, 6 ¾% bonds due 2032 and 6 ½% 2035 GO Zone Senior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IKE Zone Bonds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December 2010, the Authority completed the offering of $65.0 million of 6 ½% tax-exempt revenue bonds due November 1, 2035 under Section 704 of the Emergency Economic Stabilization Act of 2008.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 The bonds are subject to redemption, repurchase by the holders upon a change of control or a change in or loss of the current tax status of the bonds and optional redemption by the Authority under terms substantially similar to the terms for the GO Zone Bonds.</w:t>
      </w:r>
    </w:p>
    <w:p>
      <w:pPr>
        <w:spacing w:after="0" w:line="12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connection with the offering of the bonds, we entered into a loan agreement with the Authority pursuant to which we agreed to pay all of the principal, premium, if any, and interest on the bonds and certain other amounts to the Authority. The net proceeds from the offering were lent by the Authority to us. We used the proceeds to expand, refurbish and maintain certain of our facilities in the Louisiana Parish of Calcasieu. The 6 ½% 2035 IKE Zone Senior Notes are unsecured and rank equally in right of payment with other existing and future unsecured senior indebtedness. All domestic restricted subsidiaries that guarantee other debt of ours or of another guarantor of the Senior Notes in excess of $5.0 million are guarantors of the 6 ½% 2035 IKE Zone Senior Notes. As of December 31, 2016, we had drawn all the proceeds from the 6 ½% 2035 IKE Zone Senior Notes.</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indentures governing the Senior Notes contain customary covenants and events of default. Accordingly, these agreements generally impose significant operating and financial restrictions on us. These restrictions, among other things, provide limitations on incurrence of additional indebtedness, the payment of dividends, certain investments and acquisitions and sales of assets. However, the effectiveness of certain of these restrictions is currently suspended because the Senior Notes are currently rated investment grade by at least two nationally recognized credit rating agencies. The most significant of these provisions, if it were currently effective, would restrict us from incurring additional debt, except specified permitted debt (including borrowings under our credit facility), when our fixed charge coverage ratio is below 2.0:1. These limitations are subject to a number of important qualifications and exceptions, including, without limitation, an exception for the payment of our regular quarterly dividend of up to $0.10 per share. If the restrictions were currently effective, distributions in excess of $100.0 million would not be allowed unless, after giving pro forma effect to the distribution, our fixed charge coverage ratio is at least 2.0:1 and such payment, together with the aggregate amount of all other distributions after January 13, 2006, is less than the sum of 50% of our consolidated net income for the period from October 1, 2003 to the end of the most recent quarter for which financial statements have been filed, plus 100% of net cash proceeds received after October 1, 2003 as a contribution to our common equity capital or from the issuance or sale of certain securities, plus several other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3.60% Senior Notes due 2022</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July 2012, we issued $250.0 million aggregate principal amount of the 3.60% Notes Due 2022. The 3.60% Notes Due 2022 are unsecured and were issued with an original issue discount of $1.2 million. There is no sinking fund and no scheduled amortization of the 3.60% Notes Due 2022 prior to maturity. We may optionally redeem the 3.60% Notes Due 2022 at any time and from time to time prior to April 15, 2022 (three months prior to the maturity date) for 100% of the principal plus accrued interest and a discounted "make whole" payment. On or after April 15, 2022, we may optionally redeem the 3.60% Notes Due 2022 for 100% of the principal plus accrued interest. The holders of the 3.60% Notes Due 2022 may require us to repurchase the 3.60% Notes Due 2022 at a price of 101% of their principal amount, plus accrued and unpaid interest to the date of repurchase, upon the occurrence of both a "change of control" and, within 60 days of such change of control, a "below investment grade rating event" (as such terms are defined in the indenture governing the 3.60% Notes Due 2022). All of our domestic subsidiaries that guarantee other indebtedness of ours or of another guarantor of the 3.60% Notes Due 2022 in excess of $5.0 million are guarantors of the 3.60% Notes Due 2022.</w:t>
      </w:r>
    </w:p>
    <w:p>
      <w:pPr>
        <w:spacing w:after="0" w:line="12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indenture governing the 3.60% Notes Due 2022 contains customary events of default and covenants that will restrict our and certain of our subsidiaries' ability to (1) incur certain secured indebtedness, (2) engage in certain sale-leaseback transactions and (3) consolidate, merge or transfer all or substantially all of our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3.60% Senior Notes due 2026 and 5.0% Senior Notes due 2046</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August 10, 2016, we completed the private offering of $750.0 million aggregate principal amount of our 3.60% 2026 Senior Notes and $700.0 million aggregate principal amount of our 5.0% 2046 Senior Notes. The 3.60% 2026 Senior Notes and the 5.0% 2046 Senior Notes are our senior obligations and are guaranteed on a senior basis by certain of our existing and future domestic subsidiaries. The 3.60% 2026 Senior Notes and the 5.0% 2046 Senior Notes and guarantees are unsecured and rank equally with our existing and future senior unsecured obligations and each guarantor's existing and future senior unsecured obligations. We have entered into a registration rights agreement in which we have agreed to file an exchange offer registration statement or, under specified circumstances, a shelf registration statement, with the SEC with respect to the 3.60% 2026 Senior Notes and the 5.0% 2046 Senior Notes. The net proceeds from the offering were used to finance the Merger and to repay amounts under the term loan facility dated February 27, 2015 entered into by Axiall Holdco, Inc. (a wholly-owned subsidiary of Axiall), as the borrower, with the financial institutions party thereto. All of our domestic subsidiaries that guarantee other indebtedness of ours or of another guarantor of the 3.60% 2026 Senior Notes or 5.0% 2046 Senior Notes in excess of $40.0 million are guarantors of the 3.60% 2026 Senior Notes and the 5.0% 2046 Senior Notes.</w:t>
      </w:r>
    </w:p>
    <w:p>
      <w:pPr>
        <w:spacing w:after="0" w:line="124"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indenture governing the 3.60% 2026 Senior Notes and the 5.0% 2046 Senior Notes contains certain events of default and covenants that will restrict our and certain of our subsidiaries' ability to (1) incur certain secured indebtedness, (2) engage in certain sale-leaseback transactions and (3) consolidate, merge or transfer all or substantially all of our or their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Offers</w:t>
      </w:r>
    </w:p>
    <w:p>
      <w:pPr>
        <w:spacing w:after="0" w:line="9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On September 7, 2016, we completed offers to exchange (the "Axiall Exchange Offers") any and all of the $688.0 million aggregate principal amount of the 4.625% Subsidiary 2021 Senior Notes and the $450.0 million aggregate principal amount of the 4.875% Subsidiary 2023 Senior Notes (together with the 4.625% Subsidiary 2021 Senior Notes, the "Subsidiary Notes") issued by Axiall for new senior notes issued by us having the same maturity and interest rates as the Subsidiary Notes. The 4.625% Subsidiary 2021 Senior Notes and the 4.875% Subsidiary 2023 Senior Notes were assumed by us at fair value, which resulted in a premium on the Subsidiary Notes of $33.5 million and $15.8 million, respectively. The Axiall Exchange Offers, pursuant to which $624.8 million aggregate principal amount of the 4.625% Subsidiary 2021 Senior Notes and $433.8 million aggregate principal amount of the 4.875% Subsidiary 2023 Senior Notes were exchanged, respectively, for $624.8 million aggregate principal amount of the 4.625% Westlake 2021 Senior Notes and $433.8 million aggregate principal amount of the 4.875% Westlake 2023 Senior Notes, leaving outstanding $63.2 million aggregate principal amount of the 4.625% Subsidiary 2021 Senior Notes and $16.2 million aggregate principal amount of the 4.875% Subsidiary 2023 Senior Notes. The remaining 4.625% Subsidiary 2021 Senior Notes and the remaining 4.875% Subsidiary 2023 Senior Notes are the senior unsecured obligations of Axiall and Eagle Spinco Inc., respectively. The 4.625% Westlake 2021 Senior Notes and the 4.875% Westlake 2023 Senior Notes are our senior obligations and are guaranteed on a senior basis by certain of our existing and future domestic subsidiaries. The 4.625% Westlake 2021 Senior Notes and the 4.875% Westlake 2023 Senior Notes and guarantees are unsecured and rank equally with our existing and future senior unsecured obligations and each guarantor's existing and future senior unsecured obligations. We have entered into a registration rights agreement in which we have agreed to file an exchange offer registration statement or, under specified circumstances, a shelf registration statement, with the SEC with respect to the 4.625% Westlake 2021 Senior Notes and the 4.875% Westlake 2023 Senior Notes. All of our domestic subsidiaries that guarantee other indebtedness of ours or of another guarantor of the 4.625% Westlake 2021 Senior Notes or the 4.875% Westlake 2023 Senior Notes in excess of $40.0 million are guarantors of the 4.625% Westlake 2021 Senior Notes and the 4.875% Westlake 2023 Senior Notes.</w:t>
      </w:r>
    </w:p>
    <w:p>
      <w:pPr>
        <w:spacing w:after="0" w:line="13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indenture governing the 4.625% Westlake 2021 Senior Notes and the 4.875% Westlake 2023 Senior Notes contains customary events of default and covenants that will restrict our and certain of our subsidiaries' ability to (1) incur certain secured indebtedness, (2) engage in certain sale-leaseback transactions and (3) consolidate, merge or transfer all or substantially all of our or their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Bonds</w:t>
      </w:r>
    </w:p>
    <w:p>
      <w:pPr>
        <w:spacing w:after="0" w:line="9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December 1997, we entered into a loan agreement with a public trust established for public purposes for the benefit of the Parish of Calcasieu, Louisiana. The public trust issued $10.9 million principal amount of tax-exempt waste disposal revenue bonds in order to finance our construction of waste disposal facilities for an ethylene plant. 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December 31, 2016 and 2015 was 0.79% and 0.07%,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Credit Arrangements</w:t>
      </w:r>
    </w:p>
    <w:p>
      <w:pPr>
        <w:spacing w:after="0" w:line="90"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Our subsidiary, Westlake Chemical Finance Corporation, is the lender party to a $300.0 million revolving credit facility with Westlake Chemical Partners LP ("Westlake Partners"), entered into on April 29, 2015. The revolving credit facility matures on April 29, 2018. Borrowings under the revolver bear interest at LIBOR plus a spread ranging from 2.0% to 3.0% (depending on Westlake Partners' consolidated leverage ratio), payable quarterly. Westlake Partners may pay all or a portion of the interest on any borrowings in kind, in which case any such amounts would be added to the principal amount of the loan. As of December 31, 2016, outstanding borrowings under the credit facility totaled $135.3 million and bore interest at the LIBOR rate plus 2.0%.</w:t>
      </w:r>
    </w:p>
    <w:p>
      <w:pPr>
        <w:spacing w:after="0" w:line="10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subsidiary, Westlake Development Corporation, is the lender party to a $600.0 million revolving credit facility with OpCo. The revolving credit facility matures in 2019. As of December 31, 2016, outstanding borrowings under the credit facility totaled $427.5 million and bore interest at the LIBOR rate plus 3.0%, which is accrued in arrears quarterly.</w:t>
      </w:r>
    </w:p>
    <w:p>
      <w:pPr>
        <w:spacing w:after="0" w:line="12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consolidate Westlake Partners and OpCo for financial reporting purposes as we have a controlling financial interest. As such, the revolving credit facilities described above between our subsidiaries and Westlake Partners and OpCo are eliminated upon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In addition to long-term debt, we are required to make payments relating to various types of obligations. The following table summarizes our contractual obligations as of December 31, 2016 relating to long-term debt, operating leases, capital leases, pension benefits funding, post-retirement healthcare benefits, purchase obligations and interest payments for the next five years and thereafter. The amounts do not include deferred charges and other items classified in other liabilities in the consolidated balance sheet due to the uncertainty of the future payment schedule.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2"/>
              </w:rPr>
              <w:t>2018-2019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2020-2021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379"/>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 funding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Post-retirement healthcare benefits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payments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in LACC</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13,432.3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2,221.1</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6,189.1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Term loan. </w:t>
      </w:r>
      <w:r>
        <w:rPr>
          <w:rFonts w:ascii="Arial" w:cs="Arial" w:eastAsia="Arial" w:hAnsi="Arial"/>
          <w:sz w:val="18"/>
          <w:szCs w:val="18"/>
          <w:color w:val="auto"/>
        </w:rPr>
        <w:t>The term loan consists of a $150.0 million term loan facility without reduction for any debt issuance costs. The term loan was fully repaid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13, 2017. See the discussion in Note 9 to the consolidated financial statements for more information.</w:t>
      </w:r>
    </w:p>
    <w:p>
      <w:pPr>
        <w:spacing w:after="0" w:line="11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i w:val="1"/>
          <w:iCs w:val="1"/>
          <w:color w:val="auto"/>
        </w:rPr>
        <w:t>Long-Term Debt</w:t>
      </w:r>
      <w:r>
        <w:rPr>
          <w:rFonts w:ascii="Arial" w:cs="Arial" w:eastAsia="Arial" w:hAnsi="Arial"/>
          <w:sz w:val="17"/>
          <w:szCs w:val="17"/>
          <w:color w:val="auto"/>
        </w:rPr>
        <w:t>. Long-term debt consists of the 3.60% Notes Due 2022, the Senior Notes, the 4.625% Westlake 2021 Senior Notes, the 4.625%</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2021 Senior Notes, 4.875% Westlake 2023 Senior Notes, the 4.875% Subsidiary 2023 Senior Notes, the 3.60% 2026 Senior Notes, the 5.0% 2046 Senior Notes , $325.0 million borrowings outstanding under the Credit Agreement, and a $10.9 million loan from the proceeds of tax-exempt waste disposal revenue bonds the revolver under the Credit Agreement, 3.60% Notes Due 2022 without any adjustments for debt premium, debt issuance costs and debt discount. See the discussion in Note 10 to the consolidated financial statements for more information.</w:t>
      </w:r>
    </w:p>
    <w:p>
      <w:pPr>
        <w:spacing w:after="0" w:line="11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various facilities and equipment under noncancelable operating leases (primarily related to rail car leases and land) for</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This includes scheduled installments of principal and imputed interest on our capital lease obligations.</w:t>
      </w:r>
    </w:p>
    <w:p>
      <w:pPr>
        <w:spacing w:after="0" w:line="16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7"/>
          <w:szCs w:val="17"/>
          <w:i w:val="1"/>
          <w:iCs w:val="1"/>
          <w:color w:val="auto"/>
        </w:rPr>
        <w:t xml:space="preserve">Investment in LACC. </w:t>
      </w:r>
      <w:r>
        <w:rPr>
          <w:rFonts w:ascii="Arial" w:cs="Arial" w:eastAsia="Arial" w:hAnsi="Arial"/>
          <w:sz w:val="17"/>
          <w:szCs w:val="17"/>
          <w:color w:val="auto"/>
        </w:rPr>
        <w:t>On June 17, 2015, Eagle US 2 LLC ("Eagle"</w:t>
      </w:r>
      <w:r>
        <w:rPr>
          <w:rFonts w:ascii="Arial" w:cs="Arial" w:eastAsia="Arial" w:hAnsi="Arial"/>
          <w:sz w:val="18"/>
          <w:szCs w:val="18"/>
          <w:color w:val="auto"/>
        </w:rPr>
        <w:t>)</w:t>
      </w:r>
      <w:r>
        <w:rPr>
          <w:rFonts w:ascii="Arial" w:cs="Arial" w:eastAsia="Arial" w:hAnsi="Arial"/>
          <w:sz w:val="17"/>
          <w:szCs w:val="17"/>
          <w:color w:val="auto"/>
        </w:rPr>
        <w:t>, one of our wholly-owned subsidiaries obtained through the acquisition of Axiall,</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a limited liability company agreement with Lotte related to the formation of LACC, and to the designing, building and operation of a new ethylene Plant. Our investment in LACC represents approximately 10 percent of the interests of LACC. The amount reported in the Contractual Obligations table above, represents our portion of the forecasted capital contribution related to the engineering, procurement and construction of LACC's new ethylene plant. See the discussion in Note 20 to the consolidated financial statements for more information.</w:t>
      </w:r>
    </w:p>
    <w:p>
      <w:pPr>
        <w:spacing w:after="0" w:line="10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i w:val="1"/>
          <w:iCs w:val="1"/>
          <w:color w:val="auto"/>
        </w:rPr>
        <w:t xml:space="preserve">Asset retirement obligations. </w:t>
      </w:r>
      <w:r>
        <w:rPr>
          <w:rFonts w:ascii="Arial" w:cs="Arial" w:eastAsia="Arial" w:hAnsi="Arial"/>
          <w:sz w:val="18"/>
          <w:szCs w:val="18"/>
          <w:color w:val="auto"/>
        </w:rPr>
        <w:t>We have recognized a liability for the present value of cost we estimate we will incur to retire certain assets.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Contractual Obligations table above, represents the estimated cost to retire such assets. See the discussion in Note 1 to the consolidated financial statements for more information.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Pension Benefits Funding. </w:t>
      </w:r>
      <w:r>
        <w:rPr>
          <w:rFonts w:ascii="Arial" w:cs="Arial" w:eastAsia="Arial" w:hAnsi="Arial"/>
          <w:sz w:val="16"/>
          <w:szCs w:val="16"/>
          <w:color w:val="auto"/>
        </w:rPr>
        <w:t>We have defined benefit pension plans which cover certain eligible employees in the United States and non-U.S.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discussion in Note 13 to the consolidated financial statements for more information.</w:t>
      </w:r>
    </w:p>
    <w:p>
      <w:pPr>
        <w:spacing w:after="0" w:line="15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i w:val="1"/>
          <w:iCs w:val="1"/>
          <w:color w:val="auto"/>
        </w:rPr>
        <w:t xml:space="preserve">Post-retirement Healthcare Benefits. </w:t>
      </w:r>
      <w:r>
        <w:rPr>
          <w:rFonts w:ascii="Arial" w:cs="Arial" w:eastAsia="Arial" w:hAnsi="Arial"/>
          <w:sz w:val="18"/>
          <w:szCs w:val="18"/>
          <w:color w:val="auto"/>
        </w:rPr>
        <w:t>We provide post-retirement healthcare benefits to the employees of two subsidiaries who meet certain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age and service requirements. See the discussion in Note 13 to the consolidated financial statements for more information.</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Purchase obligations include agreements to purchase goods and services that are enforceable and legally binding and that specify</w:t>
      </w:r>
      <w:r>
        <w:rPr>
          <w:rFonts w:ascii="Arial" w:cs="Arial" w:eastAsia="Arial" w:hAnsi="Arial"/>
          <w:sz w:val="17"/>
          <w:szCs w:val="17"/>
          <w:i w:val="1"/>
          <w:iCs w:val="1"/>
          <w:color w:val="auto"/>
        </w:rPr>
        <w:t xml:space="preserve"> </w:t>
      </w:r>
      <w:r>
        <w:rPr>
          <w:rFonts w:ascii="Arial" w:cs="Arial" w:eastAsia="Arial" w:hAnsi="Arial"/>
          <w:sz w:val="17"/>
          <w:szCs w:val="17"/>
          <w:color w:val="auto"/>
        </w:rPr>
        <w:t>all significant terms, including a minimum quantity and price. We are party to various obligations to purchase goods and services, including commitments to purchase various feedstock, utilities, nitrogen, oxygen, product storage, pipeline usage and logistic support, in each case in the ordinary course of our business, as well as various purchase commitments for our capital projects. The amounts shown in the table above reflect our estimates based on the contractual quantities and the prices in effect under contractual agreements as of December 31, 2016.</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Interest Payments. </w:t>
      </w:r>
      <w:r>
        <w:rPr>
          <w:rFonts w:ascii="Arial" w:cs="Arial" w:eastAsia="Arial" w:hAnsi="Arial"/>
          <w:sz w:val="17"/>
          <w:szCs w:val="17"/>
          <w:color w:val="auto"/>
        </w:rPr>
        <w:t>Interest payments are based on interest rates in effect at December 31, 2016 and assume contractual amortization payments.</w:t>
      </w:r>
    </w:p>
    <w:p>
      <w:pPr>
        <w:spacing w:after="0" w:line="1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Standby Letters of Credit. </w:t>
      </w:r>
      <w:r>
        <w:rPr>
          <w:rFonts w:ascii="Arial" w:cs="Arial" w:eastAsia="Arial" w:hAnsi="Arial"/>
          <w:sz w:val="18"/>
          <w:szCs w:val="18"/>
          <w:color w:val="auto"/>
        </w:rPr>
        <w:t>This includes (1) our obligation under an $11.3 million letter of credit issued in connection with the $10.9 million tax-exempt</w:t>
      </w:r>
      <w:r>
        <w:rPr>
          <w:rFonts w:ascii="Arial" w:cs="Arial" w:eastAsia="Arial" w:hAnsi="Arial"/>
          <w:sz w:val="18"/>
          <w:szCs w:val="18"/>
          <w:i w:val="1"/>
          <w:iCs w:val="1"/>
          <w:color w:val="auto"/>
        </w:rPr>
        <w:t xml:space="preserve"> </w:t>
      </w:r>
      <w:r>
        <w:rPr>
          <w:rFonts w:ascii="Arial" w:cs="Arial" w:eastAsia="Arial" w:hAnsi="Arial"/>
          <w:sz w:val="18"/>
          <w:szCs w:val="18"/>
          <w:color w:val="auto"/>
        </w:rPr>
        <w:t>waste disposal revenue bonds and (2) other letters of credit totaling $95.9 million issued primarily to support commercial obligations and obligations under our insurance programs, including workers' compensation claims.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Uncertain income tax positions. </w:t>
      </w:r>
      <w:r>
        <w:rPr>
          <w:rFonts w:ascii="Arial" w:cs="Arial" w:eastAsia="Arial" w:hAnsi="Arial"/>
          <w:sz w:val="16"/>
          <w:szCs w:val="16"/>
          <w:color w:val="auto"/>
        </w:rPr>
        <w:t>We have recognized a liability for our uncertain income tax positions of approximately $7.2 million as of December 31,</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2016. We do not believe we are likely to pay any amounts during the year ended December 31, 2017. The ultimate resolution and timing of payment for remaining matters continues to be uncertain and are therefore excluded from the Contractual Obligations table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3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apply those accounting policies that we believe best reflect the underlying business and economic events, consistent with GAAP. Our more critical accounting policies include those related to long-lived assets, fair value estimates, accruals for long-term employee benefits, accounts receivable, income taxes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audited consolidated financial statements appearing elsewhere in this Form 10-K. We believe the following to be our most critical accounting policies applied in the preparation of our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the cyclical nature of the chemical and refining industries and uncertainties associated with governmental actions.</w:t>
      </w:r>
    </w:p>
    <w:p>
      <w:pPr>
        <w:spacing w:after="0" w:line="119"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estimated useful lives of long-lived assets range from one to 35 years. Depreciation and amortization of these assets, including amortization of deferred turnaround costs, under the straight-line method over their estimated useful lives totaled $377.7 million, $245.8 million and $208.5 million in 2016, 2015 and 2014,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$77.5 million, $3.2 million and $0.3 million in 2016, 2015 and 2014, respectively. Amortization in 2016, 2015 and 2014 of previously deferred turnaround costs was $22.4 million, $18.5 million and $19.2 million, respectively. As of December 31, 2016, deferred turnaround costs, net of accumulated amortization, totaled $93.8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6 and 7 to the audited consolidated financial statements appearing elsewhere in this Form 10-K.</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marketable securities, derivative instruments and pension plan assets. We use all available information to make these fair value determinations, including the engagement of third-party consultants. At December 31, 2016, our recorded goodwill was $946.6 million, which was associated with the acquisition of Axiall, our specialty PVC pipe business and our Longview facilities. In addition, we record all derivative instruments, pension plan assets and certain marketable securities at fair value. The fair value of these items is determined by quoted market prices or from observable market-based inputs. See Notes 13 and 16 to the consolidated financial statements for more information.</w:t>
      </w:r>
    </w:p>
    <w:p>
      <w:pPr>
        <w:spacing w:after="0" w:line="135"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i w:val="1"/>
          <w:iCs w:val="1"/>
          <w:color w:val="auto"/>
        </w:rPr>
        <w:t xml:space="preserve">Business Combinations and Intangible Assets Including Goodwill. </w:t>
      </w:r>
      <w:r>
        <w:rPr>
          <w:rFonts w:ascii="Arial" w:cs="Arial" w:eastAsia="Arial" w:hAnsi="Arial"/>
          <w:sz w:val="17"/>
          <w:szCs w:val="17"/>
          <w:color w:val="auto"/>
        </w:rPr>
        <w:t>We account for business combinations using the acquisition method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Any subsequent changes to any purchase price allocations that are material to our consolidated financial results will be adjusted in the same period's financial statements, including the effect on earnings of changes in depreciation, amortization or other income effects, if any, as a result of the change to the provisional amounts, calculated as if the accounting had been completed at the acquisition date. All acquisition costs are expensed as incurred and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 Goodwill is tested for impairment at least annually, or when events or changes in circumstances indicate the fair value of a reporting unit with goodwill has been reduced below its carrying value. The Company performs its annual impairment tests for the Olefins and Vinyls reporting units in October and April, respectively. The fair values of the reporting units are calculated using both a discounted cash flow methodology and a market value methodology. The discounted cash flow projections are based on a forecast to reflect the cyclicality of the business. The forecast is based on historical results and estimates by management, including its strategic and operational plans, and financial performance of the market. The future cash flows are discounted to present value using an applicable discount rate. The significant assumptions used in determining the fair value of the reporting unit using the market value methodology include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determination of appropriate market comparables and the estimated multiples of EBITDA a willing buyer is likely to pay. See Item 1A, "Risk Factors—If our goodwill, indefinite-lived intangible assets, or other intangible assets become impaired in the future, we may be required to record non-cash charges to earnings, which could be significant."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results of operations of acquired businesses are included in our consolidated financial statements from the acquisition date.</w:t>
      </w:r>
    </w:p>
    <w:p>
      <w:pPr>
        <w:spacing w:after="0" w:line="17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i w:val="1"/>
          <w:iCs w:val="1"/>
          <w:color w:val="auto"/>
        </w:rPr>
        <w:t xml:space="preserve">Long-Term Employee Benefit Costs. </w:t>
      </w:r>
      <w:r>
        <w:rPr>
          <w:rFonts w:ascii="Arial" w:cs="Arial" w:eastAsia="Arial" w:hAnsi="Arial"/>
          <w:sz w:val="17"/>
          <w:szCs w:val="17"/>
          <w:color w:val="auto"/>
        </w:rPr>
        <w:t>Our costs for long-term employee benefits, particularly pension and postretirement medical and life benefits,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over long periods of time and involve many uncertainties over those periods. The net periodic benefit cost attributable to current periods is based on several assumptions about such future uncertainties and is sensitive to changes in those assumptions. It is our responsibility, often with the assistance of independent experts, to select assumptions that represent the best estimates of those uncertainties. It is also our responsibility to review those assumptions periodically and, if necessary, adjust the assumptions to reflect changes in economic or other factors.</w:t>
      </w:r>
    </w:p>
    <w:p>
      <w:pPr>
        <w:spacing w:after="0" w:line="11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Accounting for employee retirement plans involves estimating the cost of benefits that are to be provided in the future and attempting to match, for each employee, that estimated cost to the period worked. To accomplish this, we rely extensively on advice from actuaries, and we make assumptions about inflation, investment returns, mortality, employee turnover and discount rates that ultimately impact amounts recorded. Changes in these assumptions may result in different expense and liability amounts. One of the more significant assumptions relate to the discount rate for measuring benefit obligations. At December 31, 2016, the projected pension benefit obligations for U.S. and non-U.S. plans were calculated using assumed weighted average discount rates of 3.8% and 1.8%, respectively. The discount rates were determined using a benchmark pension discount curve and applying spot rates from the curve to each year of expected benefit payments to determine the appropriate discount rate. As a result of the funding relief provided by the enactment of the Bipartisan Budget Act of 2015, no minimum funding requirements are expected during 2017 for the U.S. pension plans. Additional information on the 2017 funding requirements and key assumptions underlying these benefit costs appear in Note 13 to the audited consolidated financial statements appearing elsewhere in this Form 10-K.</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sensitivity of the benefit obligation of our pension plans to changes in the actuarial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12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Non-U.S. Plans</w:t>
            </w:r>
          </w:p>
        </w:tc>
      </w:tr>
      <w:tr>
        <w:trPr>
          <w:trHeight w:val="385"/>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right"/>
              <w:ind w:right="834"/>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Discount rate increases by 100 basis points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107.4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 decreases by 100 basis points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147.7</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 one-percentage point increase or decrease in assumed healthcare trend rates would not have a significant effect on the amounts reported for the healthcare plans.</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While we believe that the amounts recorded in the consolidated financial statements appearing elsewhere in this Form 10-K related to these retirement plans are based on the best estimates and judgments available, the actual outcomes could differ from these estimates.</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In our determination of the allowance for doubtful accounts, and consistent with our accounting policy, we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of accounts receivable that we believe are unlikely to be collected and we record an expense of that amount. Estimating this amount requires us to analyze the financial strength of our customers, and, in our analysis, we combine the use of historical experience, our accounts receivable aged trial balance and specific collectibility analysis. We review our allowance for doubtful accounts quarterly. Balances over 90 days past due and accounts determined by our analysis of financial strength of customers to be high risk are reviewed individually for collectibility. By its nature, such an estimate is highly subjective and it is possible that the amount of accounts receivable that we are unable to collect may be different than the amount initially estimated.</w:t>
      </w:r>
    </w:p>
    <w:p>
      <w:pPr>
        <w:spacing w:after="0" w:line="111"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utilize the liability method of accounting for income taxes. Under the liability method, deferred tax assets or liabilities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 xml:space="preserve">Environmental and Legal Obligations. </w:t>
      </w:r>
      <w:r>
        <w:rPr>
          <w:rFonts w:ascii="Arial" w:cs="Arial" w:eastAsia="Arial" w:hAnsi="Arial"/>
          <w:sz w:val="17"/>
          <w:szCs w:val="17"/>
          <w:color w:val="auto"/>
        </w:rPr>
        <w:t>We consult with various professionals to assist us in making estimates relating to environmental costs and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Note 23 to the audited consolidated financial statements appearing elsewhere in this Form 10-K.</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Asset Retirement Obligations. </w:t>
      </w:r>
      <w:r>
        <w:rPr>
          <w:rFonts w:ascii="Arial" w:cs="Arial" w:eastAsia="Arial" w:hAnsi="Arial"/>
          <w:sz w:val="18"/>
          <w:szCs w:val="18"/>
          <w:color w:val="auto"/>
        </w:rPr>
        <w:t>We recognize asset retirement obligations in the period in which the liability becomes probable and reasonably estimable.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the asset retirement obligation is recorded at fair value and capitalized as a component of the carrying value of the long-lived asset to which the obligation relates. The liability is recorded at its future value each period, and the capitalized cost is depreciated over the estimated useful life of the related asset. Upon settlement of the liability, a gain or loss is recorded.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See Note 1 to the audited consolidated financial statements for a full description of recent accounting pronouncements, including expected dates of adoption and estimated effects on results of operations and financial condition, which is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the olefins and vinyls products where pricing is more stable. We use derivative instruments in certain instances to reduce price volatility risk on feedstocks and products. Based on our open derivative positions at December 31, 2016, a hypothetical $0.10 increase in the price of a gallon of ethane would have increased our income before taxes by $19.4 million and a hypothetical $0.10 increase in the price of a gallon of propane would have increased our income before taxes by $6.3 million. Additional information concerning derivative commodity instruments appears in Notes 15 and 16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are exposed to interest rate risk with respect to fixed and variable rate debt. At December 31, 2016, we had variable rate debt of $485.9 million outstanding. All of the debt outstanding under our current term loan facility, the Credit Agreement and our loan relating to the tax-exempt waste disposal revenue bonds are at variable rates. We do not currently hedge our variable interest rate debt, but we may do so in the future. The average variable interest rate for our variable rate debt of $485.9 million as of December 31, 2016 was 2.31%. A hypothetical 100 basis point increase in the average interest rate on our variable rate debt would increase our annual interest expense by approximately $4.9 million. Also, at December 31, 2016, we had $3.3 billion aggregate principal amount of fixed rate debt. We are subject to the risk of higher interest cost if and when this debt is refinanced. If interest rates were 1% higher at the time of refinancing, our annual interest expense would increase by approximately $33.4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90"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or spot purchases. A forward exchange contract obligates us to exchange predetermined amounts of specified currencies at a stated exchange rate on a stated date.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49</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2016 and 2015</w:t>
            </w:r>
          </w:p>
        </w:tc>
        <w:tc>
          <w:tcPr>
            <w:tcW w:w="11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50</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1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51</w:t>
              </w:r>
            </w:hyperlink>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Comprehensive Income for the Years Ended</w:t>
            </w:r>
          </w:p>
        </w:tc>
        <w:tc>
          <w:tcPr>
            <w:tcW w:w="114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52</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December 31, 2016, 2015 and 2014</w:t>
            </w:r>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Changes in Stockholders' Equity for the Years Ended</w:t>
            </w:r>
          </w:p>
        </w:tc>
        <w:tc>
          <w:tcPr>
            <w:tcW w:w="114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53</w:t>
              </w:r>
            </w:hyperlink>
          </w:p>
        </w:tc>
      </w:tr>
      <w:tr>
        <w:trPr>
          <w:trHeight w:val="230"/>
        </w:trPr>
        <w:tc>
          <w:tcPr>
            <w:tcW w:w="10240" w:type="dxa"/>
            <w:vAlign w:val="bottom"/>
          </w:tcPr>
          <w:p>
            <w:pPr>
              <w:ind w:left="480"/>
              <w:spacing w:after="0"/>
              <w:rPr>
                <w:sz w:val="20"/>
                <w:szCs w:val="20"/>
                <w:color w:val="auto"/>
              </w:rPr>
            </w:pPr>
            <w:r>
              <w:rPr>
                <w:rFonts w:ascii="Arial" w:cs="Arial" w:eastAsia="Arial" w:hAnsi="Arial"/>
                <w:sz w:val="18"/>
                <w:szCs w:val="18"/>
                <w:color w:val="auto"/>
              </w:rPr>
              <w:t>December 31, 2016, 2015 and 2014</w:t>
            </w:r>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1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54</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55</w:t>
              </w:r>
            </w:hyperlink>
          </w:p>
        </w:tc>
      </w:tr>
    </w:tbl>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The management of Westlake Chemical Corporation is responsible for establishing and maintaining adequate internal control over financial reporting. Westlake's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 xml:space="preserve">Westlake management assessed the effectiveness of the Company's internal control over financial reporting as of December 31, 2016.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Based on its assessment, Westlake's management has concluded that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as of December 31, 2016 based on those criteria.</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year ended December 31, 2016, the Company acquired all the remaining equity interests in Axiall Corporation and its subsidiary companies ("Axiall"). In accordance with the SEC's published guidance, because the Company acquired Axiall during the current fiscal year, management has excluded Axiall from its assessment of the effectiveness of the Company's internal control over financial reporting as of December 31, 2016. Axiall's total assets and total net sales represent 52.3% and 19.1%, respectively, of the related consolidated financial statement amounts as of and for the year ended December 31, 2016.</w:t>
      </w:r>
    </w:p>
    <w:p>
      <w:pPr>
        <w:spacing w:after="0" w:line="13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2016 as stated in their report that appears on the following page.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Westlake Chemical Corporation:</w:t>
      </w:r>
    </w:p>
    <w:p>
      <w:pPr>
        <w:spacing w:after="0" w:line="238"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stockholders' equity and of cash flows present fairly, in all material respects, the financial position of Westlake Chemical Corporation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described in the accompanying Management's Report on Internal Control over Financial Reporting, management has excluded Axiall Corporation ("Axiall") from its assessment of internal control over financial reporting as of December 31, 2016 because it was acquired by the Company in a purchase business combination during 2016. We have also excluded Axiall from our audit of internal control over financial reporting. Axiall is a wholly-owned subsidiary whose total assets and total net sales represent 52.3% and 19.1%, respectively, of the related consolidated financial statement amounts as of and for the year ended December 31, 2016.</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4"/>
        </w:trPr>
        <w:tc>
          <w:tcPr>
            <w:tcW w:w="8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 of dollars, except</w:t>
            </w:r>
          </w:p>
        </w:tc>
      </w:tr>
      <w:tr>
        <w:trPr>
          <w:trHeight w:val="192"/>
        </w:trPr>
        <w:tc>
          <w:tcPr>
            <w:tcW w:w="8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gridSpan w:val="4"/>
          </w:tcPr>
          <w:p>
            <w:pPr>
              <w:ind w:left="80"/>
              <w:spacing w:after="0"/>
              <w:rPr>
                <w:sz w:val="20"/>
                <w:szCs w:val="20"/>
                <w:color w:val="auto"/>
              </w:rPr>
            </w:pPr>
            <w:r>
              <w:rPr>
                <w:rFonts w:ascii="Arial" w:cs="Arial" w:eastAsia="Arial" w:hAnsi="Arial"/>
                <w:sz w:val="14"/>
                <w:szCs w:val="14"/>
                <w:b w:val="1"/>
                <w:bCs w:val="1"/>
                <w:color w:val="auto"/>
              </w:rPr>
              <w:t>par values and share amounts)</w:t>
            </w:r>
          </w:p>
        </w:tc>
      </w:tr>
      <w:tr>
        <w:trPr>
          <w:trHeight w:val="256"/>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459,453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662,525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520,144</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938,743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508,532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801,100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434,060</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160,527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35,439</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2,408,316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2,175,189</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6,420,062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3,004,067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946,553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62,016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611,615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52,677</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 assets, net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98,711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327,868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176,625</w:t>
            </w:r>
          </w:p>
        </w:tc>
      </w:tr>
      <w:tr>
        <w:trPr>
          <w:trHeight w:val="27"/>
        </w:trPr>
        <w:tc>
          <w:tcPr>
            <w:tcW w:w="8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assets, net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2,061,875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390,029</w:t>
            </w:r>
          </w:p>
        </w:tc>
      </w:tr>
      <w:tr>
        <w:trPr>
          <w:trHeight w:val="297"/>
        </w:trPr>
        <w:tc>
          <w:tcPr>
            <w:tcW w:w="83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10,890,253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5,569,285</w:t>
            </w:r>
          </w:p>
        </w:tc>
      </w:tr>
      <w:tr>
        <w:trPr>
          <w:trHeight w:val="109"/>
        </w:trPr>
        <w:tc>
          <w:tcPr>
            <w:tcW w:w="8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43"/>
        </w:trPr>
        <w:tc>
          <w:tcPr>
            <w:tcW w:w="8360" w:type="dxa"/>
            <w:vAlign w:val="bottom"/>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and notes payable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496,259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235,329</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537,483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287,313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Term loan</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149,341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1,183,083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522,642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3,678,654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758,148</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1,650,575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575,603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364,819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122,821</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121,077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28,140</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6,998,208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2,007,354</w:t>
            </w:r>
          </w:p>
        </w:tc>
      </w:tr>
      <w:tr>
        <w:trPr>
          <w:trHeight w:val="27"/>
        </w:trPr>
        <w:tc>
          <w:tcPr>
            <w:tcW w:w="8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9, 10 and 23)</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50,000,000 shares authorized; no shares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issued and outstanding</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Common stock, $0.01 par value, 300,000,000 shares authorized; 134,651,380 and</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134,663,244 shares issued at December 31, 2016 and 2015, respectively (Note 11)</w:t>
            </w:r>
          </w:p>
        </w:tc>
        <w:tc>
          <w:tcPr>
            <w:tcW w:w="5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1,347</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held in treasury, at cost; 5,726,377 and 4,444,898 shares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December 31, 2016 and 2015, respectively (Note 11)</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(319,339)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(258,312)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550,641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542,148</w:t>
            </w:r>
          </w:p>
        </w:tc>
      </w:tr>
      <w:tr>
        <w:trPr>
          <w:trHeight w:val="27"/>
        </w:trPr>
        <w:tc>
          <w:tcPr>
            <w:tcW w:w="8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3,412,286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3,109,987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(129,292)</w:t>
            </w:r>
          </w:p>
        </w:tc>
      </w:tr>
      <w:tr>
        <w:trPr>
          <w:trHeight w:val="27"/>
        </w:trPr>
        <w:tc>
          <w:tcPr>
            <w:tcW w:w="8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Westlake Chemical Corporation stockholders' equity</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3,523,629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3,265,878</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368,416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296,053</w:t>
            </w:r>
          </w:p>
        </w:tc>
      </w:tr>
      <w:tr>
        <w:trPr>
          <w:trHeight w:val="27"/>
        </w:trPr>
        <w:tc>
          <w:tcPr>
            <w:tcW w:w="8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equity</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3,892,045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3,561,931</w:t>
            </w:r>
          </w:p>
        </w:tc>
      </w:tr>
      <w:tr>
        <w:trPr>
          <w:trHeight w:val="257"/>
        </w:trPr>
        <w:tc>
          <w:tcPr>
            <w:tcW w:w="8360" w:type="dxa"/>
            <w:vAlign w:val="bottom"/>
          </w:tcPr>
          <w:p>
            <w:pPr>
              <w:ind w:left="1140"/>
              <w:spacing w:after="0"/>
              <w:rPr>
                <w:sz w:val="20"/>
                <w:szCs w:val="20"/>
                <w:color w:val="auto"/>
              </w:rPr>
            </w:pPr>
            <w:r>
              <w:rPr>
                <w:rFonts w:ascii="Arial" w:cs="Arial" w:eastAsia="Arial" w:hAnsi="Arial"/>
                <w:sz w:val="18"/>
                <w:szCs w:val="18"/>
                <w:b w:val="1"/>
                <w:bCs w:val="1"/>
                <w:color w:val="auto"/>
              </w:rPr>
              <w:t>Total liabilities and equity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10,890,253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5,569,285</w:t>
            </w:r>
          </w:p>
        </w:tc>
      </w:tr>
      <w:tr>
        <w:trPr>
          <w:trHeight w:val="20"/>
        </w:trPr>
        <w:tc>
          <w:tcPr>
            <w:tcW w:w="8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8880" w:type="dxa"/>
            <w:vAlign w:val="bottom"/>
            <w:gridSpan w:val="2"/>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919"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919"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4"/>
        </w:trPr>
        <w:tc>
          <w:tcPr>
            <w:tcW w:w="6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6"/>
          </w:tcPr>
          <w:p>
            <w:pPr>
              <w:jc w:val="center"/>
              <w:ind w:left="652"/>
              <w:spacing w:after="0"/>
              <w:rPr>
                <w:sz w:val="20"/>
                <w:szCs w:val="20"/>
                <w:color w:val="auto"/>
              </w:rPr>
            </w:pPr>
            <w:r>
              <w:rPr>
                <w:rFonts w:ascii="Arial" w:cs="Arial" w:eastAsia="Arial" w:hAnsi="Arial"/>
                <w:sz w:val="14"/>
                <w:szCs w:val="14"/>
                <w:b w:val="1"/>
                <w:bCs w:val="1"/>
                <w:color w:val="auto"/>
                <w:w w:val="91"/>
              </w:rPr>
              <w:t>except share amounts and per share data)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5,075,456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4,463,336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4,415,350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4,094,894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3,278,145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3,098,000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1,317,350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295,436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225,364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183,745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581,454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959,827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1,123,991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558,379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963,441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1,083,918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398,902</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665,045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685,016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Corporation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398,859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646,010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678,523</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Earnings per common share attributable to</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 (Note 18):</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 (Note 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129,367,712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131,823,707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133,111,230</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129,974,822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132,301,812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133,643,414</w:t>
            </w:r>
          </w:p>
        </w:tc>
        <w:tc>
          <w:tcPr>
            <w:tcW w:w="0" w:type="dxa"/>
            <w:vAlign w:val="bottom"/>
          </w:tcPr>
          <w:p>
            <w:pPr>
              <w:spacing w:after="0"/>
              <w:rPr>
                <w:sz w:val="1"/>
                <w:szCs w:val="1"/>
                <w:color w:val="auto"/>
              </w:rPr>
            </w:pPr>
          </w:p>
        </w:tc>
      </w:tr>
      <w:tr>
        <w:trPr>
          <w:trHeight w:val="251"/>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per common share (Note 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0.7442</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0.6930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0.5820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385"/>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419,859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665,045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685,016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benefits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60" w:type="dxa"/>
            <w:vAlign w:val="bottom"/>
          </w:tcPr>
          <w:p>
            <w:pPr>
              <w:ind w:left="720"/>
              <w:spacing w:after="0"/>
              <w:rPr>
                <w:sz w:val="20"/>
                <w:szCs w:val="20"/>
                <w:color w:val="auto"/>
              </w:rPr>
            </w:pPr>
            <w:r>
              <w:rPr>
                <w:rFonts w:ascii="Arial" w:cs="Arial" w:eastAsia="Arial" w:hAnsi="Arial"/>
                <w:sz w:val="18"/>
                <w:szCs w:val="18"/>
                <w:color w:val="auto"/>
              </w:rPr>
              <w:t>Pension and other post-retirement reserves adjustment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840"/>
              <w:spacing w:after="0"/>
              <w:rPr>
                <w:sz w:val="20"/>
                <w:szCs w:val="20"/>
                <w:color w:val="auto"/>
              </w:rPr>
            </w:pPr>
            <w:r>
              <w:rPr>
                <w:rFonts w:ascii="Arial" w:cs="Arial" w:eastAsia="Arial" w:hAnsi="Arial"/>
                <w:sz w:val="18"/>
                <w:szCs w:val="18"/>
                <w:color w:val="auto"/>
              </w:rPr>
              <w:t>(excluding amortization)</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59,546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(25,766)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Curtailment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Settlement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benefits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29"/>
        </w:trPr>
        <w:tc>
          <w:tcPr>
            <w:tcW w:w="6760" w:type="dxa"/>
            <w:vAlign w:val="bottom"/>
          </w:tcPr>
          <w:p>
            <w:pPr>
              <w:ind w:left="720"/>
              <w:spacing w:after="0"/>
              <w:rPr>
                <w:sz w:val="20"/>
                <w:szCs w:val="20"/>
                <w:color w:val="auto"/>
              </w:rPr>
            </w:pPr>
            <w:r>
              <w:rPr>
                <w:rFonts w:ascii="Arial" w:cs="Arial" w:eastAsia="Arial" w:hAnsi="Arial"/>
                <w:sz w:val="18"/>
                <w:szCs w:val="18"/>
                <w:color w:val="auto"/>
              </w:rPr>
              <w:t>Income tax (provision) benefit on pension and 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840"/>
              <w:spacing w:after="0"/>
              <w:rPr>
                <w:sz w:val="20"/>
                <w:szCs w:val="20"/>
                <w:color w:val="auto"/>
              </w:rPr>
            </w:pPr>
            <w:r>
              <w:rPr>
                <w:rFonts w:ascii="Arial" w:cs="Arial" w:eastAsia="Arial" w:hAnsi="Arial"/>
                <w:sz w:val="18"/>
                <w:szCs w:val="18"/>
                <w:color w:val="auto"/>
              </w:rPr>
              <w:t>post-retirement benefits liability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8,096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(60,128)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Available-for-sale investments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holding gains (losses)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Reclassification of net realized gains to net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(provision) on available-for-sale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(76,817)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608,199</w:t>
            </w:r>
          </w:p>
        </w:tc>
      </w:tr>
      <w:tr>
        <w:trPr>
          <w:trHeight w:val="209"/>
        </w:trPr>
        <w:tc>
          <w:tcPr>
            <w:tcW w:w="6760" w:type="dxa"/>
            <w:vAlign w:val="bottom"/>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60" w:type="dxa"/>
            <w:vAlign w:val="bottom"/>
          </w:tcPr>
          <w:p>
            <w:pPr>
              <w:ind w:left="520"/>
              <w:spacing w:after="0"/>
              <w:rPr>
                <w:sz w:val="20"/>
                <w:szCs w:val="20"/>
                <w:color w:val="auto"/>
              </w:rPr>
            </w:pPr>
            <w:r>
              <w:rPr>
                <w:rFonts w:ascii="Arial" w:cs="Arial" w:eastAsia="Arial" w:hAnsi="Arial"/>
                <w:sz w:val="18"/>
                <w:szCs w:val="18"/>
                <w:color w:val="auto"/>
              </w:rPr>
              <w:t>net of tax of $279 for 2016 and $0 for 2015 and 2014</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6,493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Westlake Chemical Corporation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406,845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596,151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601,706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6" w:name="page57"/>
    <w:bookmarkEnd w:id="56"/>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Accumulated Other Comprehensive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Held in Treasury</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Holding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Benefits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Gains 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Paid-in</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Retained</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Liability,</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Currency</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Investments,</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Exchange</w:t>
            </w: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5"/>
        </w:trPr>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ind w:left="80"/>
              <w:spacing w:after="0"/>
              <w:rPr>
                <w:sz w:val="20"/>
                <w:szCs w:val="20"/>
                <w:color w:val="auto"/>
              </w:rPr>
            </w:pPr>
            <w:r>
              <w:rPr>
                <w:rFonts w:ascii="Arial" w:cs="Arial" w:eastAsia="Arial" w:hAnsi="Arial"/>
                <w:sz w:val="14"/>
                <w:szCs w:val="14"/>
                <w:b w:val="1"/>
                <w:bCs w:val="1"/>
                <w:color w:val="auto"/>
              </w:rPr>
              <w:t>(in thousands of dollars, except share amounts)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2013</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134,580,208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$ 1,346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1,252,922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 (46,220)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$ 511,432</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$1,954,661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(6,696)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   3,904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$ 2,418,603</w:t>
            </w:r>
          </w:p>
        </w:tc>
        <w:tc>
          <w:tcPr>
            <w:tcW w:w="0" w:type="dxa"/>
            <w:vAlign w:val="bottom"/>
          </w:tcPr>
          <w:p>
            <w:pPr>
              <w:spacing w:after="0"/>
              <w:rPr>
                <w:sz w:val="1"/>
                <w:szCs w:val="1"/>
                <w:color w:val="auto"/>
              </w:rPr>
            </w:pPr>
          </w:p>
        </w:tc>
      </w:tr>
      <w:tr>
        <w:trPr>
          <w:trHeight w:val="237"/>
        </w:trPr>
        <w:tc>
          <w:tcPr>
            <w:tcW w:w="1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678,523</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685,016</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(loss)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(16,746)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(76,817)</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repurchased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671,791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(52,630)</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(52,630)</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98,856</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(137,167)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3,045</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Stock-based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net of tax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15,964</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15,964</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(77,656)</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noncontrolling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Westlake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Chemical</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Partners LP</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units</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286,088</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286,088</w:t>
            </w:r>
          </w:p>
        </w:tc>
        <w:tc>
          <w:tcPr>
            <w:tcW w:w="0" w:type="dxa"/>
            <w:vAlign w:val="bottom"/>
          </w:tcPr>
          <w:p>
            <w:pPr>
              <w:spacing w:after="0"/>
              <w:rPr>
                <w:sz w:val="1"/>
                <w:szCs w:val="1"/>
                <w:color w:val="auto"/>
              </w:rPr>
            </w:pPr>
          </w:p>
        </w:tc>
      </w:tr>
      <w:tr>
        <w:trPr>
          <w:trHeight w:val="236"/>
        </w:trPr>
        <w:tc>
          <w:tcPr>
            <w:tcW w:w="1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76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96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2014</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w w:val="92"/>
              </w:rPr>
              <w:t>134,679,064</w:t>
            </w:r>
          </w:p>
        </w:tc>
        <w:tc>
          <w:tcPr>
            <w:tcW w:w="10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w w:val="92"/>
              </w:rPr>
              <w:t>1,787,546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(96,372)</w:t>
            </w:r>
          </w:p>
        </w:tc>
        <w:tc>
          <w:tcPr>
            <w:tcW w:w="10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530,441</w:t>
            </w:r>
          </w:p>
        </w:tc>
        <w:tc>
          <w:tcPr>
            <w:tcW w:w="12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2,555,528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(23,442)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290,377</w:t>
            </w: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3,201,888</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646,010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665,045</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comprehensive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(loss)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14,835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(49,859)</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repurchased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2,701,937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(163,138)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(163,138)</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Shares issued—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based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(15,820)</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(44,585)</w:t>
            </w:r>
          </w:p>
        </w:tc>
        <w:tc>
          <w:tcPr>
            <w:tcW w:w="1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of tax 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11,842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37"/>
        </w:trPr>
        <w:tc>
          <w:tcPr>
            <w:tcW w:w="13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(91,551)</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(91,551)</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(14,956)</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Noncontrolling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interest in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acquired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business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1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134,663,244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4,444,898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(258,312)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542,148</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3,109,987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296,053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3,561,931</w:t>
            </w:r>
          </w:p>
        </w:tc>
        <w:tc>
          <w:tcPr>
            <w:tcW w:w="0" w:type="dxa"/>
            <w:vAlign w:val="bottom"/>
          </w:tcPr>
          <w:p>
            <w:pPr>
              <w:spacing w:after="0"/>
              <w:rPr>
                <w:sz w:val="1"/>
                <w:szCs w:val="1"/>
                <w:color w:val="auto"/>
              </w:rPr>
            </w:pPr>
          </w:p>
        </w:tc>
      </w:tr>
      <w:tr>
        <w:trPr>
          <w:trHeight w:val="237"/>
        </w:trPr>
        <w:tc>
          <w:tcPr>
            <w:tcW w:w="1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398,859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21,000</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419,859</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2"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37,552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7,986</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(loss)</w:t>
            </w: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160"/>
              <w:spacing w:after="0"/>
              <w:rPr>
                <w:sz w:val="20"/>
                <w:szCs w:val="20"/>
                <w:color w:val="auto"/>
              </w:rPr>
            </w:pPr>
            <w:r>
              <w:rPr>
                <w:rFonts w:ascii="Arial" w:cs="Arial" w:eastAsia="Arial" w:hAnsi="Arial"/>
                <w:sz w:val="16"/>
                <w:szCs w:val="16"/>
                <w:color w:val="auto"/>
              </w:rPr>
              <w:t>repurchased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1,511,109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(66,727)</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(66,727)</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(117,019)</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7,728</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Stock-based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net of tax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color w:val="auto"/>
              </w:rPr>
              <w:t>stock</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(112,611)</w:t>
            </w:r>
          </w:p>
        </w:tc>
        <w:tc>
          <w:tcPr>
            <w:tcW w:w="1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2,762</w:t>
            </w: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3,703</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(96,560)</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60"/>
              <w:spacing w:after="0"/>
              <w:rPr>
                <w:sz w:val="20"/>
                <w:szCs w:val="20"/>
                <w:color w:val="auto"/>
              </w:rPr>
            </w:pPr>
            <w:r>
              <w:rPr>
                <w:rFonts w:ascii="Arial" w:cs="Arial" w:eastAsia="Arial" w:hAnsi="Arial"/>
                <w:sz w:val="16"/>
                <w:szCs w:val="16"/>
                <w:color w:val="auto"/>
              </w:rPr>
              <w:t>noncontrolling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(16,637)</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(16,637)</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acquired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68,000</w:t>
            </w:r>
          </w:p>
        </w:tc>
        <w:tc>
          <w:tcPr>
            <w:tcW w:w="0" w:type="dxa"/>
            <w:vAlign w:val="bottom"/>
          </w:tcPr>
          <w:p>
            <w:pPr>
              <w:spacing w:after="0"/>
              <w:rPr>
                <w:sz w:val="1"/>
                <w:szCs w:val="1"/>
                <w:color w:val="auto"/>
              </w:rPr>
            </w:pPr>
          </w:p>
        </w:tc>
      </w:tr>
      <w:tr>
        <w:trPr>
          <w:trHeight w:val="196"/>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Balances at</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w w:val="92"/>
              </w:rPr>
              <w:t>134,651,380</w:t>
            </w:r>
          </w:p>
        </w:tc>
        <w:tc>
          <w:tcPr>
            <w:tcW w:w="100" w:type="dxa"/>
            <w:vAlign w:val="bottom"/>
          </w:tcPr>
          <w:p>
            <w:pPr>
              <w:spacing w:after="0"/>
              <w:rPr>
                <w:sz w:val="17"/>
                <w:szCs w:val="17"/>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$ 1,347</w:t>
            </w:r>
          </w:p>
        </w:tc>
        <w:tc>
          <w:tcPr>
            <w:tcW w:w="100" w:type="dxa"/>
            <w:vAlign w:val="bottom"/>
          </w:tcPr>
          <w:p>
            <w:pPr>
              <w:spacing w:after="0"/>
              <w:rPr>
                <w:sz w:val="17"/>
                <w:szCs w:val="17"/>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w w:val="92"/>
              </w:rPr>
              <w:t>5,726,377</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$(319,339)</w:t>
            </w:r>
          </w:p>
        </w:tc>
        <w:tc>
          <w:tcPr>
            <w:tcW w:w="10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w w:val="92"/>
              </w:rPr>
              <w:t>$ 550,641</w:t>
            </w:r>
          </w:p>
        </w:tc>
        <w:tc>
          <w:tcPr>
            <w:tcW w:w="1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w w:val="92"/>
              </w:rPr>
              <w:t>$3,412,286</w:t>
            </w:r>
          </w:p>
        </w:tc>
        <w:tc>
          <w:tcPr>
            <w:tcW w:w="100" w:type="dxa"/>
            <w:vAlign w:val="bottom"/>
          </w:tcPr>
          <w:p>
            <w:pPr>
              <w:spacing w:after="0"/>
              <w:rPr>
                <w:sz w:val="17"/>
                <w:szCs w:val="17"/>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w w:val="98"/>
              </w:rPr>
              <w:t>$  28,945</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$(150,202)</w:t>
            </w:r>
          </w:p>
        </w:tc>
        <w:tc>
          <w:tcPr>
            <w:tcW w:w="10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  368,416</w:t>
            </w:r>
          </w:p>
        </w:tc>
        <w:tc>
          <w:tcPr>
            <w:tcW w:w="100" w:type="dxa"/>
            <w:vAlign w:val="bottom"/>
          </w:tcPr>
          <w:p>
            <w:pPr>
              <w:spacing w:after="0"/>
              <w:rPr>
                <w:sz w:val="17"/>
                <w:szCs w:val="17"/>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w w:val="92"/>
              </w:rPr>
              <w:t>$ 3,892,045</w:t>
            </w:r>
          </w:p>
        </w:tc>
        <w:tc>
          <w:tcPr>
            <w:tcW w:w="0" w:type="dxa"/>
            <w:vAlign w:val="bottom"/>
          </w:tcPr>
          <w:p>
            <w:pPr>
              <w:spacing w:after="0"/>
              <w:rPr>
                <w:sz w:val="1"/>
                <w:szCs w:val="1"/>
                <w:color w:val="auto"/>
              </w:rPr>
            </w:pPr>
          </w:p>
        </w:tc>
      </w:tr>
      <w:tr>
        <w:trPr>
          <w:trHeight w:val="228"/>
        </w:trPr>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8" w:name="page59"/>
    <w:bookmarkEnd w:id="58"/>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r>
      <w:tr>
        <w:trPr>
          <w:trHeight w:val="385"/>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419,859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665,045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685,016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377,666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208,486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 realized on previously held shares of Axiall common stock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from sales of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6760" w:type="dxa"/>
            <w:vAlign w:val="bottom"/>
          </w:tcPr>
          <w:p>
            <w:pPr>
              <w:ind w:left="380"/>
              <w:spacing w:after="0"/>
              <w:rPr>
                <w:sz w:val="20"/>
                <w:szCs w:val="20"/>
                <w:color w:val="auto"/>
              </w:rPr>
            </w:pPr>
            <w:r>
              <w:rPr>
                <w:rFonts w:ascii="Arial" w:cs="Arial" w:eastAsia="Arial" w:hAnsi="Arial"/>
                <w:sz w:val="18"/>
                <w:szCs w:val="18"/>
                <w:color w:val="auto"/>
              </w:rPr>
              <w:t>Gain on acquisition, net of loss on the fair value remeasurement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520"/>
              <w:spacing w:after="0"/>
              <w:rPr>
                <w:sz w:val="20"/>
                <w:szCs w:val="20"/>
                <w:color w:val="auto"/>
              </w:rPr>
            </w:pPr>
            <w:r>
              <w:rPr>
                <w:rFonts w:ascii="Arial" w:cs="Arial" w:eastAsia="Arial" w:hAnsi="Arial"/>
                <w:sz w:val="18"/>
                <w:szCs w:val="18"/>
                <w:color w:val="auto"/>
              </w:rPr>
              <w:t>of preexisting equity interest</w:t>
            </w: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58,967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Windfall tax benefits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Loss (income) from equity method investments, net of dividends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(gains) losses,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r>
      <w:tr>
        <w:trPr>
          <w:trHeight w:val="229"/>
        </w:trPr>
        <w:tc>
          <w:tcPr>
            <w:tcW w:w="67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business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51,087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(97,237)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74,989</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833,852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1,078,836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1,032,376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(611,087)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(431,104)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cost method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equity method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repayment of loan acquired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45,923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342,045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Purchase of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(117,332)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derivative instruments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(2,562,800)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(1,006,176)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(773,205)</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senior notes issuance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term loan and drawdown of revolver</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WLKP LP common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286,088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5,524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associated with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 of revolver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notes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Windfall tax benefits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6,704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(used for)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164,640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97"/>
        </w:trPr>
        <w:tc>
          <w:tcPr>
            <w:tcW w:w="6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122"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419,300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662,525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880,601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461,301</w:t>
            </w:r>
          </w:p>
        </w:tc>
      </w:tr>
      <w:tr>
        <w:trPr>
          <w:trHeight w:val="27"/>
        </w:trPr>
        <w:tc>
          <w:tcPr>
            <w:tcW w:w="6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459,453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880,601</w:t>
            </w:r>
          </w:p>
        </w:tc>
      </w:tr>
      <w:tr>
        <w:trPr>
          <w:trHeight w:val="20"/>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Westlake Chemical Corporation (the "Company") operates as an integrated global manufacturer and marketer of basic chemicals, vinyls, polymers and building products. These products include some of the most widely used chemicals in the world, which are fundamental to many diverse consumer and industrial markets, including flexible and rigid packaging, automotive products, coatings, residential and commercial construction as well as other durable and non-durable goods. The Company's customers range from large chemical processors and plastics fabricators to small construction contractors, municipalities and supply warehouses primarily throughout North America and Europe. The petrochemical industry is subject to price fluctuations and volatile feedstock pricing typical of a commodity-based industry, the effects of which may not be immediately passed along to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Axiall Corporation</w:t>
      </w:r>
    </w:p>
    <w:p>
      <w:pPr>
        <w:spacing w:after="0" w:line="9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August 31, 2016, the Company completed the acquisition of Axiall Corporation ("Axiall") for $33.00 per share in an all-cash transaction (the "Merger"), pursuant to the terms of the Agreement and Plan of Merger (the "Merger Agreement"), dated as of June 10, 2016, by and among Westlake, Axiall and Lagoon Merger Sub, Inc., a wholly-owned subsidiary of Westlake. During the third quarter of 2016, in order to finance a portion of the consideration and related fees and expenses, and for other general corporate purposes, the Company issued $1,450,000 aggregate principal amount of senior notes. In addition, the Company entered into a $1,000,000 unsecured revolving credit facility (the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Initial Public Offering of a Master Limited Partnership</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2014, the Company formed Westlake Chemical Partners LP ("Westlake Partners") to operate, acquire and develop ethylene production facilities and related assets. Also in 2014, Westlake Partners completed an initial public offering of 12,937,500 common units (the "Westlake Partners IPO"). As of December 31, 2016, Westlake Partners' assets consist of a 13.3% limited partner interest in Westlake Chemical OpCo LP ("OpCo"), as well as the general partner interest in OpCo. OpCo's assets include two ethylene production facilities at the Company's Lake Charles, Louisiana site, one ethylene production facility at the Company's Calvert City, Kentucky site and a 200-mile common carrier ethylene pipeline that runs from Mont Belvieu, Texas to the Company's Longview, Texas site. As of December 31, 2016, the Company held an 86.7% limited partner interest in OpCo and a controlling interest in Westlake Partners. The operations of Westlake Partners are consolidated in the Company's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subsidiaries in which the Company directly or indirectly owns more than a 50% voting interest and exercises control and, when applicable, entities for which the Company has a controlling financial interest or is the primary beneficiary. Investments in majority-owned companies where the Company does not exercise control and investments in nonconsolidated affiliates (20%-50% owned companies, joint ventures and partnerships) are accounted for using the equity method of accounting. Undistributed earnings from joint ventures included in retained earnings were immaterial as of December 31, 2016.</w:t>
      </w:r>
    </w:p>
    <w:p>
      <w:pPr>
        <w:spacing w:after="0" w:line="13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Certain prior period amounts have been reclassified in the consolidated balance sheets and consolidated statements of operations to conform to current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Investments in debt and equity securities are classified as trading, available-for-sale or held-to-maturity. Investments classified as trading are carried at estimated fair value with changes in fair value currently recognized in earnings. Investments classified as available-for-sale are carried at estimated fair value with unrealized gains and losses recorded as a component of accumulated other comprehensive income. Investments classified as held-to-maturity are carried at amortized cost.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61" w:name="page62"/>
    <w:bookmarkEnd w:id="6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Company periodically reviews its available-for-sale and held-to-maturity securities for other-than-temporary declines in fair value below the cost basis, and when events or changes in circumstances indicate the carrying value of an asset may not be recoverable, the investment is written down to fair value, establishing a new cost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jc w:val="both"/>
        <w:ind w:right="22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Company believes are unlikely to be collected. Estimating this amount requires analysis of the financial strength of the Company's customers, the use of historical experience, the Company's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lower of cost or market.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Property, plant and equipment are carried at cost, net of accumulated depreciation. Cost includes expenditures for improvements and betterments that extend the useful lives of the assets and interest capitalized on significant capital projects. Capitalized interest was $10,388, $10,449 and $7,059 for the years ended December 31, 2016, 2015 and 2014, respectively. Repair and maintenance costs are charged to operations as incurred. Gains and losses on the disposition or retirement of fixed assets are reflected in the consolidated statement of operations when the assets are sold or retired.</w:t>
      </w:r>
    </w:p>
    <w:p>
      <w:pPr>
        <w:spacing w:after="0" w:line="100"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371"/>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Company has conditional asset retirement obligations for the removal and disposal of hazardous materials from certain of the Company's manufacturing facilities.</w:t>
      </w:r>
    </w:p>
    <w:p>
      <w:pPr>
        <w:spacing w:after="0" w:line="3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recognizes asset retirement obligations in the period in which the liability becomes probable and reasonably estimable. Recognized asset retirement obligations are initially recorded at fair value and capitalized as a component of the carrying value of the long-lived asset to which the obligation relates. The liability is accreted to its future value each period, and the capitalized cost is depreciated over the estimated useful life of the related asset. Upon settlement of the liability, a gain or loss is recorded. As of December 31, 2016, the Company had $4,421 and $17,004 of asset retirement obligations recorded as accrued liabilities and other liabilities, respectively. There was no asset retirement obligation recorded as of December 31, 2015.</w:t>
      </w:r>
    </w:p>
    <w:p>
      <w:pPr>
        <w:spacing w:after="0" w:line="2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The Company also has conditional asset retirement obligations that have not been recognized because the fair value of the conditional legal obligations cannot be measured due to the indeterminate settlement date of the obligation. Settlement of the unrecognized conditional asset retirement obligations is not expected to have a material adverse effects on the Company's financial condition, results of operations or cash flows in any individual reporting period. The asset retirement obligations activity for the year ended December 31, 2016 is as follows: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62" w:name="page63"/>
    <w:bookmarkEnd w:id="62"/>
    <w:p>
      <w:pPr>
        <w:ind w:left="660"/>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54"/>
        </w:trPr>
        <w:tc>
          <w:tcPr>
            <w:tcW w:w="660" w:type="dxa"/>
            <w:vAlign w:val="bottom"/>
          </w:tcPr>
          <w:p>
            <w:pPr>
              <w:spacing w:after="0"/>
              <w:rPr>
                <w:sz w:val="22"/>
                <w:szCs w:val="22"/>
                <w:color w:val="auto"/>
              </w:rPr>
            </w:pPr>
          </w:p>
        </w:tc>
        <w:tc>
          <w:tcPr>
            <w:tcW w:w="102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7720" w:type="dxa"/>
            <w:vAlign w:val="bottom"/>
            <w:gridSpan w:val="2"/>
          </w:tcPr>
          <w:p>
            <w:pPr>
              <w:jc w:val="center"/>
              <w:ind w:right="1239"/>
              <w:spacing w:after="0"/>
              <w:rPr>
                <w:sz w:val="20"/>
                <w:szCs w:val="20"/>
                <w:color w:val="auto"/>
              </w:rPr>
            </w:pPr>
            <w:r>
              <w:rPr>
                <w:rFonts w:ascii="Arial" w:cs="Arial" w:eastAsia="Arial" w:hAnsi="Arial"/>
                <w:sz w:val="18"/>
                <w:szCs w:val="18"/>
                <w:b w:val="1"/>
                <w:bCs w:val="1"/>
                <w:color w:val="auto"/>
              </w:rPr>
              <w:t>WESTLAKE CHEMICAL CORPORATION</w:t>
            </w:r>
          </w:p>
        </w:tc>
        <w:tc>
          <w:tcPr>
            <w:tcW w:w="1180" w:type="dxa"/>
            <w:vAlign w:val="bottom"/>
          </w:tcPr>
          <w:p>
            <w:pPr>
              <w:spacing w:after="0"/>
              <w:rPr>
                <w:sz w:val="22"/>
                <w:szCs w:val="22"/>
                <w:color w:val="auto"/>
              </w:rPr>
            </w:pPr>
          </w:p>
        </w:tc>
      </w:tr>
      <w:tr>
        <w:trPr>
          <w:trHeight w:val="247"/>
        </w:trPr>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720" w:type="dxa"/>
            <w:vAlign w:val="bottom"/>
            <w:gridSpan w:val="2"/>
          </w:tcPr>
          <w:p>
            <w:pPr>
              <w:jc w:val="center"/>
              <w:ind w:right="1259"/>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1180" w:type="dxa"/>
            <w:vAlign w:val="bottom"/>
          </w:tcPr>
          <w:p>
            <w:pPr>
              <w:spacing w:after="0"/>
              <w:rPr>
                <w:sz w:val="21"/>
                <w:szCs w:val="21"/>
                <w:color w:val="auto"/>
              </w:rPr>
            </w:pPr>
          </w:p>
        </w:tc>
      </w:tr>
      <w:tr>
        <w:trPr>
          <w:trHeight w:val="234"/>
        </w:trPr>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720" w:type="dxa"/>
            <w:vAlign w:val="bottom"/>
            <w:gridSpan w:val="2"/>
          </w:tcPr>
          <w:p>
            <w:pPr>
              <w:jc w:val="center"/>
              <w:ind w:right="1259"/>
              <w:spacing w:after="0"/>
              <w:rPr>
                <w:sz w:val="20"/>
                <w:szCs w:val="20"/>
                <w:color w:val="auto"/>
              </w:rPr>
            </w:pPr>
            <w:r>
              <w:rPr>
                <w:rFonts w:ascii="Arial" w:cs="Arial" w:eastAsia="Arial" w:hAnsi="Arial"/>
                <w:sz w:val="18"/>
                <w:szCs w:val="18"/>
                <w:b w:val="1"/>
                <w:bCs w:val="1"/>
                <w:color w:val="auto"/>
                <w:w w:val="88"/>
              </w:rPr>
              <w:t>(in thousands of dollars, except share amounts and per share data)</w:t>
            </w:r>
          </w:p>
        </w:tc>
        <w:tc>
          <w:tcPr>
            <w:tcW w:w="1180" w:type="dxa"/>
            <w:vAlign w:val="bottom"/>
          </w:tcPr>
          <w:p>
            <w:pPr>
              <w:spacing w:after="0"/>
              <w:rPr>
                <w:sz w:val="20"/>
                <w:szCs w:val="20"/>
                <w:color w:val="auto"/>
              </w:rPr>
            </w:pPr>
          </w:p>
        </w:tc>
      </w:tr>
      <w:tr>
        <w:trPr>
          <w:trHeight w:val="693"/>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r>
      <w:tr>
        <w:trPr>
          <w:trHeight w:val="192"/>
        </w:trPr>
        <w:tc>
          <w:tcPr>
            <w:tcW w:w="6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31, 2016</w:t>
            </w: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 January 1,</w:t>
            </w:r>
          </w:p>
        </w:tc>
        <w:tc>
          <w:tcPr>
            <w:tcW w:w="7720" w:type="dxa"/>
            <w:vAlign w:val="bottom"/>
            <w:tcBorders>
              <w:bottom w:val="single" w:sz="8" w:color="CCEEFF"/>
            </w:tcBorders>
            <w:gridSpan w:val="2"/>
            <w:shd w:val="clear" w:color="auto" w:fill="CCEEFF"/>
          </w:tcPr>
          <w:p>
            <w:pPr>
              <w:ind w:left="74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gridSpan w:val="3"/>
          </w:tcPr>
          <w:p>
            <w:pPr>
              <w:ind w:left="280"/>
              <w:spacing w:after="0" w:line="270"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7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21,174</w:t>
            </w:r>
          </w:p>
        </w:tc>
      </w:tr>
      <w:tr>
        <w:trPr>
          <w:trHeight w:val="270"/>
        </w:trPr>
        <w:tc>
          <w:tcPr>
            <w:tcW w:w="2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Accretion expense</w:t>
            </w:r>
          </w:p>
        </w:tc>
        <w:tc>
          <w:tcPr>
            <w:tcW w:w="7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9"/>
              </w:rPr>
              <w:t>Ending balance, December 31,</w:t>
            </w:r>
          </w:p>
        </w:tc>
        <w:tc>
          <w:tcPr>
            <w:tcW w:w="74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21,425</w:t>
            </w:r>
          </w:p>
        </w:tc>
      </w:tr>
      <w:tr>
        <w:trPr>
          <w:trHeight w:val="20"/>
        </w:trPr>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w:t>
      </w:r>
    </w:p>
    <w:p>
      <w:pPr>
        <w:spacing w:after="0" w:line="98" w:lineRule="exact"/>
        <w:rPr>
          <w:sz w:val="20"/>
          <w:szCs w:val="20"/>
          <w:color w:val="auto"/>
        </w:rPr>
      </w:pPr>
    </w:p>
    <w:p>
      <w:pPr>
        <w:ind w:left="460" w:hanging="43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2, "Acquisitions" for additional information on the Company's acquisition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Estimates</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Company develops estimates of fair value to allocate the purchase price paid to acquire a business to the assets acquired and liabilities assumed in an acquisition, to assess impairment of long-lived assets, goodwill and intangible assets and to record marketable securities, derivative instruments and pension plan assets. The Company uses all available information to make these fair value determinations, including the engagement of third-party consultants.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records business combinations using the acquisition method of accounting. Under the acquisition method of accounting, identifiable assets acquired and liabilities assumed are recorded at their acquisition 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accounting guidance for the impairment or disposal of long-lived assets requires that the Company review long-lived assets for impairment whenever events or changes in circumstances indicate that the carrying amount of an asset may not be recoverable.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accounting guidance for goodwill and intangible assets requires that goodwill and indefinite-lived intangible assets are tested for impairment at least annually. Other intangible assets with finite lives are amortized over their estimated useful life and reviewed for impairment in accordance with the provisions of the accounting guidance. As of December 31, 2016, the Company's recorded goodwill was $946,553. See Note 7 for more information on the Company's annual goodwill impairment tests.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4" w:right="239" w:bottom="1440" w:gutter="0" w:footer="0" w:header="0"/>
        </w:sectPr>
      </w:pPr>
    </w:p>
    <w:bookmarkStart w:id="63" w:name="page64"/>
    <w:bookmarkEnd w:id="6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enters into inventory exchange transactions with third parties, which involve fungible commodities. These exchanges are settled in like-kind quantities and are valued at lower of cost or market. Cost is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utilizes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are recorded against deferred tax assets when it is considered more likely than not that the deferred tax assets will not be realized.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Assets and liabilities of foreign subsidiaries are translated to U.S. dollars at the exchange rate as of the end of the year. Statement of operations items are translated at the average exchange rate for the year. The resulting translation adjustment is recorded as a separate component of stockholders' equity.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Financial instruments which potentially subject the Company to concentration of risk consist principally of trade receivables from customers engaged in manufacturing polyethylene products, polyvinyl chloride ("PVC") products and PVC pipe products. The Company performs periodic credit evaluations of the customers' financial condition and generally does not require collateral. The Company maintains allowances for potential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Revenue is recognized when persuasive evidence of an arrangement exists, products are delivered to the customer, the sales price is fixed or determinable and collectability is reasonably assured. For domestic contracts, title and risk of loss passes to the customer upon delivery under executed customer purchase orders or contracts. For export contracts, the title and risk of loss passes to customers at the time specified by each contract. Provisions for discounts, rebates and returns are provided for in the same period as the related sales are recorded.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Amounts billed to customers for freight and handling costs on outbound shipments are included in net sales in the consolidated statements of operations. Transportation and freight costs incurred by the Company on outbound shipments are included in cost of sales in the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accounting guidance for earnings per share requires the Company to present basic earnings per share and diluted earnings per share. Basic earnings per share excludes dilution and is computed by dividing income available to common stockholders by the weighted average number of shares outstanding for the period. Diluted earnings per share reflects the dilution that could occur if securities or other contracts to issue common stock were exercised or converted into common stock or resulted in the issuance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Risk Management</w:t>
      </w:r>
    </w:p>
    <w:p>
      <w:pPr>
        <w:spacing w:after="0" w:line="90"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Company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4" w:name="page65"/>
    <w:bookmarkEnd w:id="6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utilizes commodity price swaps to reduce price risks by entering into price swaps with counterparties and by purchasing or selling futures on established exchanges. The Company takes both fixed and variable positions, depending upon anticipated future physical purchases and sales of these commodities. The fair value of derivative financial instruments is estimated using quoted market prices in active markets and observable market-based inputs or unobservable inputs that are corroborated by market data when active markets are not available. The Company assesses both counterparty as well as its own nonperformance risk when measuring the fair value of derivative liabilities. The Company does not consider its nonperformance risk to be significant. See Note 16 for a summary of the fair value of derivative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Company's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amounts reported in the balance sheet for cash and cash equivalents, accounts receivable, net and accounts payable approximate their fair value due to the short maturities of these instruments. The fair value of the Company's debt at December 31, 2016 differs from the carrying value due to the Company's fixed rate senior notes. The fair value of financial instruments is estimated using quoted market prices in active markets and observable market-based inputs or unobservable inputs that are corroborated by market data when active markets are not available. See Note 16 for more information on the fair value of financial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9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 provide warranties for certain building products against defects in material, performance and workmanship. We accrue for warranty claims at the time of sale based on historical warranty claims experience. Our warranty liabilities are included in accrued liabilities and other liabilities in the consolidated balance sheets. The warranty liabilities activity for the years ended December 31, 2016, 2015 and 2014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w:t>
            </w:r>
          </w:p>
        </w:tc>
      </w:tr>
      <w:tr>
        <w:trPr>
          <w:trHeight w:val="270"/>
        </w:trPr>
        <w:tc>
          <w:tcPr>
            <w:tcW w:w="67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Estimated fair value of warranty liability assumed in acquisition </w:t>
            </w:r>
            <w:r>
              <w:rPr>
                <w:rFonts w:ascii="Arial" w:cs="Arial" w:eastAsia="Arial" w:hAnsi="Arial"/>
                <w:sz w:val="25"/>
                <w:szCs w:val="25"/>
                <w:color w:val="auto"/>
                <w:vertAlign w:val="superscript"/>
              </w:rPr>
              <w:t>(1)</w:t>
            </w:r>
          </w:p>
        </w:tc>
        <w:tc>
          <w:tcPr>
            <w:tcW w:w="9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14,564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612</w:t>
            </w: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provisions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Effects of changes in foreign exchange rates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claims paid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Ending balance, December 31,</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17,070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1,833</w:t>
            </w: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60" w:hanging="438"/>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2, "Acquisitions" for additional information on the Company's acquisition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Amortization of debt issuance costs is computed on a basis which approximates the interest method over the term of the related debt. Certain other assets (see Note 7) are amortized over periods ranging from one to 30 years using the straight-line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5" w:name="page66"/>
    <w:bookmarkEnd w:id="6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and December 2016, the FASB issued various additional authoritative guidance for the new revenue recognition standard. The accounting standard will be effective for reporting periods beginning after December 15, 2017. The Company is in the process of evaluating the impact that the new accounting standard will have on its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 (ASU No. 2016-01)</w:t>
      </w:r>
    </w:p>
    <w:p>
      <w:pPr>
        <w:spacing w:after="0" w:line="9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In January 2016, the FASB issued an accounting standards update making certain changes principally to the current guidance for equity investments, financial liabilities under the fair value option and the presentation and disclosure requirements for financial instruments. Among other things, the guidance</w:t>
      </w:r>
    </w:p>
    <w:p>
      <w:pPr>
        <w:ind w:right="40" w:firstLine="8"/>
        <w:spacing w:after="0" w:line="251"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requires equity investments (except those accounted for under the equity method of accounting or those that result in consolidation of the investee) to be measured at fair value, with changes in fair value recognized in net income; (2) provide entities with a policy election to record equity investments without readily determinable fair values at cost, less impairment, and subsequent adjustments for observable price changes (changes in the basis of these equity investments to be reported in net income); (3) requires an entity that has elected the fair value option for financial liabilities to recognize changes in fair value due to instrument-specific credit risk separately in other comprehensive income; (4) clarified current guidance related to the valuation allowance assessment when recognizing deferred tax assets resulting from unrealized losses on available-for-sale debt securities; and (5) requires specific disclosure pertaining to financial assets and financial liabilities in the financial statements. The accounting standard will be effective for reporting periods beginning after December 15, 2017. The Company is in the process of evaluating the impact that the new accounting guidance will have on its consolidated financial position, results of operations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Company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Investments-Equity Method and Joint Ventures (ASU No. 2016-07)</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March 2016, the FASB issued an accounting standards update providing new guidance for the accounting for equity method investments. The new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In addition, the guidance requires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accounting standard is effective for reporting its periods beginning after December 15, 2016. The Company does not expect the new guidance to have a significant impact on its consolidated financial position, results of operations and cash flows. The Company will adopt the accounting change prospectively; therefore, historical amounts will not be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6" w:name="page67"/>
    <w:bookmarkEnd w:id="6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(ASU No. 2016-09)</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March 2016, the FASB issued an accounting standards update to simplify several aspects of the accounting for share-based payment transactions, including income tax consequences, classifications of awards as either equity or liabilities and certain related classifications on the statement of cash flows. In addition, the new guidance permits entities to make an accounting policy election for the impact of forfeitures on the recognition of expense for share-based payment awards. Forfeitures can be estimated, as required today, or recognized when they occur. The accounting standard is effective for reporting periods beginning after December 15, 2016 and is not expected to have a material impact on the Company's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The Company is in the process of evaluating the impact that the new accounting guidance will have on its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 beginning after December 15, 2017. The Company is in the process of evaluating the impact that the new accounting guidance will have on its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2016-17)</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October 2016, the FASB issued an accounting standards update making certain changes to the current consolidation guidance. The amendments affect reporting entities that are required to evaluate whether they should consolidate a variable interest entity in certain situations involving entities under common control. Specifically, the amendments change the evaluation of 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The amendments will be effective for annual periods beginning after December 15, 2016. The Company is in the process of evaluating the impact that the new accounting guidance will have on its consolidated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2016-18)</w:t>
      </w:r>
    </w:p>
    <w:p>
      <w:pPr>
        <w:spacing w:after="0" w:line="9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November 2016, the FASB issued an accounting standards update to clarify certain existing principles in ASC 230, including providing additional guidance related to transfers between cash and restricted cash and how entities present, in their statement of cash flows, the cash receipts and cash payments that directly affect the restricted cash accounts. The accounting standard will be effective for reporting periods beginning December 1, 2018 and is not expected to have a material impact on the Company's consolidated financial position,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In January 2017, the FASB issued an accounting standard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The accounting standard will be effective for reporting periods beginning after December 15, 2017. The Company is in the process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7" w:name="page68"/>
    <w:bookmarkEnd w:id="6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of evaluating the impact that the new accounting guidance will have on its consolidated financial position, results of operations and 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Intangibles-Goodwill and Other (ASU No. 2017-04)</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January 2017, the FASB issued an accounting standard update to simplify the subsequent measurement of goodwill. The guidance removes Step 2 of the goodwill impairment test, which requires a hypothetical purchase price allocation. A goodwill impairment will now be the amount by which a reporting unit's carrying value exceeds its fair value, not to exceed the carrying amount of goodwill. The accounting standard will be effective for reporting periods beginning after December 15, 2019. The Company is in the process of evaluating the impact that the new accounting guidance will have on its consolidated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 (ASU No. 2014-15)</w:t>
      </w:r>
    </w:p>
    <w:p>
      <w:pPr>
        <w:spacing w:after="0" w:line="90"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In August 2014, the FASB issued an accounting standard update providing guidance related to evaluating whether there is substantial doubt about the reporting entity's ability to continue as a going concern and about related financial statement note disclosures. Disclosures are required if there is substantial doubt as to the Company's continuation as a going concern within one year after the issue date of financial statements. The standard provides guidance for making the assessment, including consideration of management's plans which may alleviate doubt regarding the Company's ability to continue as a going concern. The accounting standard became effective for the annual reporting period ending after December 15, 2016, and all annual and interim periods thereafter. The Company adopted this accounting standard effective December 31, 2016 and the adoption did not have an impact on the Company's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2015-02)</w:t>
      </w:r>
    </w:p>
    <w:p>
      <w:pPr>
        <w:spacing w:after="0" w:line="9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eliminates certain guidance for limited partnerships and similar entities under the voting interest consolidation model. The accounting standard is effective for annual periods beginning after December 15, 2015. The Company adopted this accounting standard effective January 1, 2016 and the adoption did not have an impact on the Company's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Presentation of Debt Issuance Costs (ASU No. 2015-03)</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April 2015, the FASB issued an accounting standards update on simplifying the presentation of debt issuance costs, which requires all costs incurred to issue debt to be presented in the balance sheet as a direct deduction from the carrying value of the associated debt liability, consistent with the presentation of a debt discount. The accounting standard is effective for reporting periods beginning after December 15, 2015. The Company adopted this accounting standard effective January 1, 2016. As a result of this retrospective adoption and reclassification of equity-method investment of $9,208 to other assets for comparative purposes, Other assets, net—Deferred charges and other assets, net and Long-term debt on the consolidated balance sheet as of December 31, 2015 have been adjusted to $176,625 and $758,148, respectively, from the originally reported $173,384 and $764,115, respectively, to reflect the retrospective application of the new accounting guidance. The adoption of this accounting standard did not have an impact on the Company's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Intangibles-Goodwill and Other-Internal use software (ASU No. 2015-05)</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April 2015, the FASB issued an accounting standards update to provide clarification on accounting for cloud computing arrangements which include a software license. The accounting standard is effective for annual periods beginning after December 15, 2015. The Company adopted this accounting standard, to be applied prospectively, effective January 1, 2016. Consistent with the prospective application of this accounting standard, prior period comparative information was not adjusted. The adoption did not have a material impact on the Company's consolidated financial position, results of operations and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8" w:name="page69"/>
    <w:bookmarkEnd w:id="6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Measurement-Period Adjustments (ASU No. 2015-16)</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September 2015, the FASB issued an accounting standards update that requires an acquirer to recognize adjustments to provisional amounts that are identified during the measurement period in the reporting period in which the adjustment amounts are determined. The guidance requires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The new guidance further requires specific disclosure pertaining to the measurement period adjustments. The accounting standard is effective for reporting periods beginning after December 15, 2015. The Company adopted this accounting standard effective January 1, 2016, and the adoption did not have an impact on the Company's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 (ASU No. 2015-17)</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November 2015, the FASB issued an accounting standards update that requires all deferred tax assets and liabilities, along with any related valuation allowance, to be classified as noncurrent on the balance sheet. As a result, each jurisdiction will now only have one net noncurrent deferred tax asset or liability. The new guidance does not change the existing requirement that only permits offsetting within a jurisdiction. The accounting standard is required to be adopted for reporting periods beginning after December 15, 2016; however, early adoption of this standard is permitted. The Company elected to early adopt this accounting standard, to be applied prospectively, effective January 1, 2016. Consistent with the prospective application of this accounting standard, prior period comparative information was not adjusted. The early adoption of this accounting standard did not have an impact on the Company's results of operations and cash flows.</w:t>
      </w:r>
    </w:p>
    <w:p>
      <w:pPr>
        <w:spacing w:after="0" w:line="212" w:lineRule="exact"/>
        <w:rPr>
          <w:sz w:val="20"/>
          <w:szCs w:val="20"/>
          <w:color w:val="auto"/>
        </w:rPr>
      </w:pPr>
    </w:p>
    <w:p>
      <w:pPr>
        <w:ind w:right="9940" w:firstLine="8"/>
        <w:spacing w:after="0" w:line="390" w:lineRule="auto"/>
        <w:tabs>
          <w:tab w:leader="none" w:pos="1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b w:val="1"/>
          <w:bCs w:val="1"/>
          <w:i w:val="1"/>
          <w:iCs w:val="1"/>
          <w:color w:val="auto"/>
        </w:rPr>
        <w:t>Axiall Corporation</w:t>
      </w:r>
    </w:p>
    <w:p>
      <w:pPr>
        <w:ind w:right="100" w:firstLine="432"/>
        <w:spacing w:after="0" w:line="254" w:lineRule="auto"/>
        <w:rPr>
          <w:sz w:val="20"/>
          <w:szCs w:val="20"/>
          <w:color w:val="auto"/>
        </w:rPr>
      </w:pPr>
      <w:r>
        <w:rPr>
          <w:rFonts w:ascii="Arial" w:cs="Arial" w:eastAsia="Arial" w:hAnsi="Arial"/>
          <w:sz w:val="18"/>
          <w:szCs w:val="18"/>
          <w:color w:val="auto"/>
        </w:rPr>
        <w:t>On August 31, 2016, the Company completed its acquisition of, and acquired all the remaining equity interest in, Axiall Corporation ("Axiall"), a Delaware corporation. Prior to the acquisition, the Company held 3.1 million shares in Axiall. Pursuant to the terms of the Agreement and Plan of Merger, dated as of June 10, 2016, by and among Westlake, Axiall and Lagoon Merger Sub, Inc., a Delaware corporation that is a wholly-owned subsidiary of Westlake ("Merger Sub"), the Company acquired all of the remaining issued and outstanding shares of common stock of Axiall for $33.00 per share in cash. Pursuant to the Merger Agreement, Merger Sub was merged with and into Axiall, and Axiall survived the Merger as a wholly-owned subsidiary of the Company. The combined company is the third-largest global chlor-alkali producer and the third-largest global polyvinyl chloride ("PVC") producer. The Company's management believes that this strategic acquisition will enhance its strategy of integration and will further strengthen its role in the North American markets.</w:t>
      </w:r>
    </w:p>
    <w:p>
      <w:pPr>
        <w:spacing w:after="0" w:line="138" w:lineRule="exact"/>
        <w:rPr>
          <w:sz w:val="20"/>
          <w:szCs w:val="20"/>
          <w:color w:val="auto"/>
        </w:rPr>
      </w:pPr>
    </w:p>
    <w:p>
      <w:pPr>
        <w:jc w:val="both"/>
        <w:ind w:right="220" w:firstLine="392"/>
        <w:spacing w:after="0" w:line="264" w:lineRule="auto"/>
        <w:rPr>
          <w:sz w:val="20"/>
          <w:szCs w:val="20"/>
          <w:color w:val="auto"/>
        </w:rPr>
      </w:pPr>
      <w:r>
        <w:rPr>
          <w:rFonts w:ascii="Arial" w:cs="Arial" w:eastAsia="Arial" w:hAnsi="Arial"/>
          <w:sz w:val="18"/>
          <w:szCs w:val="18"/>
          <w:color w:val="auto"/>
        </w:rPr>
        <w:t>Axiall produces a highly integrated chain of chlor-alkali and derivative products, including chlorine, caustic soda, vinyl chloride monomer ("VCM"), PVC resin, PVC compounds and chlorinated derivative products. Axiall also manufactures and sells building products, including siding, trim, mouldings, pipe and pipe fittings.</w:t>
      </w:r>
    </w:p>
    <w:p>
      <w:pPr>
        <w:spacing w:after="0" w:line="127" w:lineRule="exact"/>
        <w:rPr>
          <w:sz w:val="20"/>
          <w:szCs w:val="20"/>
          <w:color w:val="auto"/>
        </w:rPr>
      </w:pPr>
    </w:p>
    <w:p>
      <w:pPr>
        <w:ind w:right="360" w:firstLine="392"/>
        <w:spacing w:after="0" w:line="342" w:lineRule="auto"/>
        <w:rPr>
          <w:sz w:val="20"/>
          <w:szCs w:val="20"/>
          <w:color w:val="auto"/>
        </w:rPr>
      </w:pPr>
      <w:r>
        <w:rPr>
          <w:rFonts w:ascii="Arial" w:cs="Arial" w:eastAsia="Arial" w:hAnsi="Arial"/>
          <w:sz w:val="16"/>
          <w:szCs w:val="16"/>
          <w:color w:val="auto"/>
        </w:rPr>
        <w:t>Total consideration transferred for the Merger was $2,539,360. The Merger is being accounted for under the acquisition method of accounting. The assets acquired and liabilities assumed and the results of operations of the acquired business are included in the Company's Vinyls segment.</w:t>
      </w:r>
    </w:p>
    <w:p>
      <w:pPr>
        <w:spacing w:after="0" w:line="70"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The acquired business contributed net sales and net loss of $975,605 and $95,663, respectively, to the Company for the period from August 31, 2016 to December 31, 2016. The net loss for the period from August 31, 2016 to December 31, 2016 included integration-related costs and the negative impact of selling higher cost Axiall inventory recorded at fair value. The following unaudited consolidated pro forma information presents consolidated information as if the Merger had occurred on January 1, 2015:</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2" w:right="299" w:bottom="1440" w:gutter="0" w:footer="0" w:header="0"/>
        </w:sectPr>
      </w:pPr>
    </w:p>
    <w:bookmarkStart w:id="69" w:name="page70"/>
    <w:bookmarkEnd w:id="6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Pro Forma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7,080,545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7,793,086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398,826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662,750</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 interest</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22,748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Westlake Chemical Corporation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376,078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664,415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Earnings per common share attributable to Westlake Chemical Corporation: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64"/>
        </w:trPr>
        <w:tc>
          <w:tcPr>
            <w:tcW w:w="83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00" w:right="280" w:hanging="392"/>
        <w:spacing w:after="0" w:line="264" w:lineRule="auto"/>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2016 pro forma net income amounts include Axiall's historical pre-tax charges recorded during the eight-month period prior to the closing of the Merger for (1) divestitures; (2) restructuring; and (3) legal and settlement claims, net, of $26,666, $22,881 and $23,376, respectively. These nonrecurring costs are included in the pro forma results because they were not directly attributable to the Merger.</w:t>
      </w:r>
    </w:p>
    <w:p>
      <w:pPr>
        <w:spacing w:after="0" w:line="127"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The pro forma amounts above have been calculated after applying the Company's accounting policies and adjusting the Axiall results to reflect (1) the increase to depreciation and amortization that would have been charged assuming the fair value adjustments to property, plant and equipment and intangible assets had been applied from January 1, 2015; (2) the elimination of net sales and cost of sales between the Company and Axiall; (3) additional pension service costs; (4) amortization of debt premium and accretion of asset retirement obligations as part of the Company's adjustments to fair value; (5) incremental interest expense that would have been incurred assuming the financing arrangements entered by the Company and repayment of a portion of Axiall's outstanding debt had occurred on January 1, 2015; (6) the elimination of transaction-related costs; (7) the elimination of Axiall's goodwill impairment charges during 2015; and (8) an adjustment to tax-effect the aforementioned pro forma adjustments using an estimated aggregate statutory income tax rate of the jurisdictions to which the above adjustments relate. The pro forma amounts do not include any potential synergies, cost savings or other expected benefits of the Merger, are presented for illustrative purposes only and are not necessarily indicative of results that would have been achieved if the Merger had occurred as of January 1, 2015 or of future operating performance.</w:t>
      </w:r>
    </w:p>
    <w:p>
      <w:pPr>
        <w:spacing w:after="0" w:line="124" w:lineRule="exact"/>
        <w:rPr>
          <w:sz w:val="20"/>
          <w:szCs w:val="20"/>
          <w:color w:val="auto"/>
        </w:rPr>
      </w:pPr>
    </w:p>
    <w:p>
      <w:pPr>
        <w:ind w:right="120" w:firstLine="392"/>
        <w:spacing w:after="0" w:line="312" w:lineRule="auto"/>
        <w:rPr>
          <w:sz w:val="20"/>
          <w:szCs w:val="20"/>
          <w:color w:val="auto"/>
        </w:rPr>
      </w:pPr>
      <w:r>
        <w:rPr>
          <w:rFonts w:ascii="Arial" w:cs="Arial" w:eastAsia="Arial" w:hAnsi="Arial"/>
          <w:sz w:val="16"/>
          <w:szCs w:val="16"/>
          <w:color w:val="auto"/>
        </w:rPr>
        <w:t>The Company recognized $103,672 of transaction and integration-related costs during 2016. This included acquisition-related costs of $49,262 for advisory, consulting and professional fees and other expenses. Transaction and integration-related costs also included $54,410 related to settlement of Axiall share-based awards, retention agreement costs and severance benefits provided to former Axiall executives in connection with the Merger during 2016.</w:t>
      </w:r>
    </w:p>
    <w:p>
      <w:pPr>
        <w:spacing w:after="0" w:line="93"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The following table summarizes the consideration transferred and the estimated fair value of identified assets acquired and liabilities assumed at the date of acquisition. The preliminary allocation of the consideration transferred is based on management's estimates, judgments and assumptions. When determining the fair values of assets acquired, liabilities assumed and noncontrolling interests of the acquiree, management made significant estimates, judgments and assumptions. These estimates, judgments and assumptions are subject to change upon final valuation and should be treated as preliminary values. Management estimated that consideration paid exceeded the fair value of the net assets acquired. Therefore, goodwill of $887,491 was recorded. The goodwill recognized is primarily attributable to synergies related to the Company's vinyls integration strategy that are expected to arise from the Merger. All of the goodwill is assigned to the Company's Vinyls segment. As a portion of the goodwill arising from the Merger is attributable to foreign operations, there will be a continuing foreign currency impact to goodwill on the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70" w:name="page71"/>
    <w:bookmarkEnd w:id="70"/>
    <w:p>
      <w:pPr>
        <w:ind w:left="660"/>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bl>
      <w:tblPr>
        <w:tblLayout w:type="fixed"/>
        <w:tblInd w:w="20" w:type="dxa"/>
        <w:tblCellMar>
          <w:top w:w="0" w:type="dxa"/>
          <w:left w:w="0" w:type="dxa"/>
          <w:bottom w:w="0" w:type="dxa"/>
          <w:right w:w="0" w:type="dxa"/>
        </w:tblCellMar>
      </w:tblPr>
      <w:tr>
        <w:trPr>
          <w:trHeight w:val="254"/>
        </w:trPr>
        <w:tc>
          <w:tcPr>
            <w:tcW w:w="640" w:type="dxa"/>
            <w:vAlign w:val="bottom"/>
          </w:tcPr>
          <w:p>
            <w:pPr>
              <w:spacing w:after="0"/>
              <w:rPr>
                <w:sz w:val="22"/>
                <w:szCs w:val="22"/>
                <w:color w:val="auto"/>
              </w:rPr>
            </w:pPr>
          </w:p>
        </w:tc>
        <w:tc>
          <w:tcPr>
            <w:tcW w:w="1020" w:type="dxa"/>
            <w:vAlign w:val="bottom"/>
            <w:tcBorders>
              <w:top w:val="single" w:sz="8" w:color="0000EE"/>
            </w:tcBorders>
          </w:tcPr>
          <w:p>
            <w:pPr>
              <w:spacing w:after="0"/>
              <w:rPr>
                <w:sz w:val="22"/>
                <w:szCs w:val="22"/>
                <w:color w:val="auto"/>
              </w:rPr>
            </w:pPr>
          </w:p>
        </w:tc>
        <w:tc>
          <w:tcPr>
            <w:tcW w:w="8260" w:type="dxa"/>
            <w:vAlign w:val="bottom"/>
          </w:tcPr>
          <w:p>
            <w:pPr>
              <w:jc w:val="center"/>
              <w:ind w:right="90"/>
              <w:spacing w:after="0"/>
              <w:rPr>
                <w:sz w:val="20"/>
                <w:szCs w:val="20"/>
                <w:color w:val="auto"/>
              </w:rPr>
            </w:pPr>
            <w:r>
              <w:rPr>
                <w:rFonts w:ascii="Arial" w:cs="Arial" w:eastAsia="Arial" w:hAnsi="Arial"/>
                <w:sz w:val="18"/>
                <w:szCs w:val="18"/>
                <w:b w:val="1"/>
                <w:bCs w:val="1"/>
                <w:color w:val="auto"/>
              </w:rPr>
              <w:t>WESTLAKE CHEMICAL CORPORATION</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47"/>
        </w:trPr>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4"/>
        </w:trPr>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 of dollars, except share amounts and per share data)</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93"/>
        </w:trPr>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Final Purchase</w:t>
            </w:r>
          </w:p>
        </w:tc>
      </w:tr>
      <w:tr>
        <w:trPr>
          <w:trHeight w:val="149"/>
        </w:trPr>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Consideration as of</w:t>
            </w:r>
          </w:p>
        </w:tc>
      </w:tr>
      <w:tr>
        <w:trPr>
          <w:trHeight w:val="192"/>
        </w:trPr>
        <w:tc>
          <w:tcPr>
            <w:tcW w:w="6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August 31, 2016</w:t>
            </w:r>
          </w:p>
        </w:tc>
      </w:tr>
      <w:tr>
        <w:trPr>
          <w:trHeight w:val="250"/>
        </w:trPr>
        <w:tc>
          <w:tcPr>
            <w:tcW w:w="9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Closing stock purchase: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gridSpan w:val="3"/>
          </w:tcPr>
          <w:p>
            <w:pPr>
              <w:ind w:left="280"/>
              <w:spacing w:after="0"/>
              <w:rPr>
                <w:sz w:val="20"/>
                <w:szCs w:val="20"/>
                <w:color w:val="auto"/>
              </w:rPr>
            </w:pPr>
            <w:r>
              <w:rPr>
                <w:rFonts w:ascii="Arial" w:cs="Arial" w:eastAsia="Arial" w:hAnsi="Arial"/>
                <w:sz w:val="18"/>
                <w:szCs w:val="18"/>
                <w:color w:val="auto"/>
              </w:rPr>
              <w:t>Offer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33.00</w:t>
            </w:r>
          </w:p>
        </w:tc>
      </w:tr>
      <w:tr>
        <w:trPr>
          <w:trHeight w:val="27"/>
        </w:trPr>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Multiplied by number of shares outstanding at acquisition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67,277</w:t>
            </w:r>
          </w:p>
        </w:tc>
      </w:tr>
      <w:tr>
        <w:trPr>
          <w:trHeight w:val="237"/>
        </w:trPr>
        <w:tc>
          <w:tcPr>
            <w:tcW w:w="9920" w:type="dxa"/>
            <w:vAlign w:val="bottom"/>
            <w:gridSpan w:val="3"/>
          </w:tcPr>
          <w:p>
            <w:pPr>
              <w:ind w:left="20"/>
              <w:spacing w:after="0"/>
              <w:rPr>
                <w:sz w:val="20"/>
                <w:szCs w:val="20"/>
                <w:color w:val="auto"/>
              </w:rPr>
            </w:pPr>
            <w:r>
              <w:rPr>
                <w:rFonts w:ascii="Arial" w:cs="Arial" w:eastAsia="Arial" w:hAnsi="Arial"/>
                <w:sz w:val="18"/>
                <w:szCs w:val="18"/>
                <w:color w:val="auto"/>
              </w:rPr>
              <w:t>Fair value of Axiall shares outstanding purchased by the Company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2,220,141</w:t>
            </w:r>
          </w:p>
        </w:tc>
      </w:tr>
      <w:tr>
        <w:trPr>
          <w:trHeight w:val="27"/>
        </w:trPr>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gridSpan w:val="3"/>
          </w:tcPr>
          <w:p>
            <w:pPr>
              <w:ind w:left="280"/>
              <w:spacing w:after="0"/>
              <w:rPr>
                <w:sz w:val="20"/>
                <w:szCs w:val="20"/>
                <w:color w:val="auto"/>
              </w:rPr>
            </w:pPr>
            <w:r>
              <w:rPr>
                <w:rFonts w:ascii="Arial" w:cs="Arial" w:eastAsia="Arial" w:hAnsi="Arial"/>
                <w:sz w:val="18"/>
                <w:szCs w:val="18"/>
                <w:color w:val="auto"/>
              </w:rPr>
              <w:t>Axiall debt repaid at acquisition</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247,135</w:t>
            </w:r>
          </w:p>
        </w:tc>
      </w:tr>
      <w:tr>
        <w:trPr>
          <w:trHeight w:val="27"/>
        </w:trPr>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20" w:type="dxa"/>
            <w:vAlign w:val="bottom"/>
            <w:gridSpan w:val="3"/>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Seller's transaction costs paid by the Company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47,458</w:t>
            </w:r>
          </w:p>
        </w:tc>
      </w:tr>
      <w:tr>
        <w:trPr>
          <w:trHeight w:val="237"/>
        </w:trPr>
        <w:tc>
          <w:tcPr>
            <w:tcW w:w="640" w:type="dxa"/>
            <w:vAlign w:val="bottom"/>
          </w:tcPr>
          <w:p>
            <w:pPr>
              <w:spacing w:after="0"/>
              <w:rPr>
                <w:sz w:val="20"/>
                <w:szCs w:val="20"/>
                <w:color w:val="auto"/>
              </w:rPr>
            </w:pPr>
          </w:p>
        </w:tc>
        <w:tc>
          <w:tcPr>
            <w:tcW w:w="9280" w:type="dxa"/>
            <w:vAlign w:val="bottom"/>
            <w:gridSpan w:val="2"/>
          </w:tcPr>
          <w:p>
            <w:pPr>
              <w:ind w:left="500"/>
              <w:spacing w:after="0"/>
              <w:rPr>
                <w:sz w:val="20"/>
                <w:szCs w:val="20"/>
                <w:color w:val="auto"/>
              </w:rPr>
            </w:pPr>
            <w:r>
              <w:rPr>
                <w:rFonts w:ascii="Arial" w:cs="Arial" w:eastAsia="Arial" w:hAnsi="Arial"/>
                <w:sz w:val="18"/>
                <w:szCs w:val="18"/>
                <w:color w:val="auto"/>
              </w:rPr>
              <w:t>Total fair value of consideration transferred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2,514,734</w:t>
            </w:r>
          </w:p>
        </w:tc>
      </w:tr>
      <w:tr>
        <w:trPr>
          <w:trHeight w:val="27"/>
        </w:trPr>
        <w:tc>
          <w:tcPr>
            <w:tcW w:w="6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992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Fair value of Axiall share-based awards attributed to pre-combination service </w:t>
            </w:r>
            <w:r>
              <w:rPr>
                <w:rFonts w:ascii="Arial" w:cs="Arial" w:eastAsia="Arial" w:hAnsi="Arial"/>
                <w:sz w:val="25"/>
                <w:szCs w:val="25"/>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11,346</w:t>
            </w:r>
          </w:p>
        </w:tc>
      </w:tr>
      <w:tr>
        <w:trPr>
          <w:trHeight w:val="270"/>
        </w:trPr>
        <w:tc>
          <w:tcPr>
            <w:tcW w:w="9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Additional settlement value of shares acquired</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13,280</w:t>
            </w:r>
          </w:p>
        </w:tc>
      </w:tr>
      <w:tr>
        <w:trPr>
          <w:trHeight w:val="297"/>
        </w:trPr>
        <w:tc>
          <w:tcPr>
            <w:tcW w:w="640" w:type="dxa"/>
            <w:vAlign w:val="bottom"/>
            <w:tcBorders>
              <w:bottom w:val="single" w:sz="8" w:color="CCEEFF"/>
            </w:tcBorders>
          </w:tcPr>
          <w:p>
            <w:pPr>
              <w:spacing w:after="0"/>
              <w:rPr>
                <w:sz w:val="24"/>
                <w:szCs w:val="24"/>
                <w:color w:val="auto"/>
              </w:rPr>
            </w:pPr>
          </w:p>
        </w:tc>
        <w:tc>
          <w:tcPr>
            <w:tcW w:w="9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Purchase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2,539,360</w:t>
            </w:r>
          </w:p>
        </w:tc>
      </w:tr>
      <w:tr>
        <w:trPr>
          <w:trHeight w:val="284"/>
        </w:trPr>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324"/>
        </w:trPr>
        <w:tc>
          <w:tcPr>
            <w:tcW w:w="99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Fair value of previously held equity interest in Axiall </w:t>
            </w:r>
            <w:r>
              <w:rPr>
                <w:rFonts w:ascii="Arial" w:cs="Arial" w:eastAsia="Arial" w:hAnsi="Arial"/>
                <w:sz w:val="25"/>
                <w:szCs w:val="25"/>
                <w:color w:val="auto"/>
                <w:vertAlign w:val="superscript"/>
              </w:rPr>
              <w:t>(3)</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102,300</w:t>
            </w:r>
          </w:p>
        </w:tc>
      </w:tr>
      <w:tr>
        <w:trPr>
          <w:trHeight w:val="257"/>
        </w:trPr>
        <w:tc>
          <w:tcPr>
            <w:tcW w:w="640" w:type="dxa"/>
            <w:vAlign w:val="bottom"/>
            <w:tcBorders>
              <w:bottom w:val="single" w:sz="8" w:color="CCEEFF"/>
            </w:tcBorders>
            <w:shd w:val="clear" w:color="auto" w:fill="CCEEFF"/>
          </w:tcPr>
          <w:p>
            <w:pPr>
              <w:spacing w:after="0"/>
              <w:rPr>
                <w:sz w:val="22"/>
                <w:szCs w:val="22"/>
                <w:color w:val="auto"/>
              </w:rPr>
            </w:pPr>
          </w:p>
        </w:tc>
        <w:tc>
          <w:tcPr>
            <w:tcW w:w="9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fair value allocated to 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2,641,660</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00" w:right="60" w:hanging="392"/>
        <w:spacing w:after="0" w:line="277"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costs incurred by the seller included legal and advisory costs incurred for the benefit of Axiall's former shareholders and board of directors to evaluate the Company's initial Merger proposals, explore strategic alternatives and negotiate the purchase price.</w:t>
      </w:r>
    </w:p>
    <w:p>
      <w:pPr>
        <w:spacing w:after="0" w:line="8" w:lineRule="exact"/>
        <w:rPr>
          <w:rFonts w:ascii="Arial" w:cs="Arial" w:eastAsia="Arial" w:hAnsi="Arial"/>
          <w:sz w:val="18"/>
          <w:szCs w:val="18"/>
          <w:color w:val="auto"/>
        </w:rPr>
      </w:pPr>
    </w:p>
    <w:p>
      <w:pPr>
        <w:ind w:left="400" w:right="120" w:hanging="392"/>
        <w:spacing w:after="0" w:line="277"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fair value of share-based awards attributable to pre-combination service includes the ratio of the pre-combination service performed to the original service period of the Axiall restricted share units and options, including related dividend equivalent rights.</w:t>
      </w:r>
    </w:p>
    <w:p>
      <w:pPr>
        <w:spacing w:after="0" w:line="8" w:lineRule="exact"/>
        <w:rPr>
          <w:rFonts w:ascii="Arial" w:cs="Arial" w:eastAsia="Arial" w:hAnsi="Arial"/>
          <w:sz w:val="18"/>
          <w:szCs w:val="18"/>
          <w:color w:val="auto"/>
        </w:rPr>
      </w:pPr>
    </w:p>
    <w:p>
      <w:pPr>
        <w:ind w:left="400" w:right="60" w:hanging="392"/>
        <w:spacing w:after="0" w:line="264"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the Merger, the Company owned 3.1 million shares in Axiall. The investment in Axiall was carried at estimated fair value with unrealized gains recorded as a component of accumulated other comprehensive loss on the consolidated balance sheet. The Company recognized a $49,080 gain for the investment in other income, net in the consolidated statement of operations upon gaining control.</w:t>
      </w:r>
    </w:p>
    <w:p>
      <w:pPr>
        <w:spacing w:after="0" w:line="127"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The final allocation of purchase consideration, based on final valuations, could include changes in the estimated fair value of inventories, property, plant and equipment, equity investments, customer relationships, trade names, developed technologies and other intangibles, deferred income taxes, all contingencies, asset retirement obligations and noncontrolling interests. The assumed contingencies relate to environmental liabilities, legal liabilities, asset retirement obligations and warranty reserves.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14" w:right="2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660"/>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3"/>
        </w:trPr>
        <w:tc>
          <w:tcPr>
            <w:tcW w:w="660" w:type="dxa"/>
            <w:vAlign w:val="bottom"/>
          </w:tcPr>
          <w:p>
            <w:pPr>
              <w:spacing w:after="0"/>
              <w:rPr>
                <w:sz w:val="19"/>
                <w:szCs w:val="19"/>
                <w:color w:val="auto"/>
              </w:rPr>
            </w:pPr>
          </w:p>
        </w:tc>
        <w:tc>
          <w:tcPr>
            <w:tcW w:w="1020" w:type="dxa"/>
            <w:vAlign w:val="bottom"/>
            <w:tcBorders>
              <w:top w:val="single" w:sz="8" w:color="0000EE"/>
            </w:tcBorders>
          </w:tcPr>
          <w:p>
            <w:pPr>
              <w:spacing w:after="0"/>
              <w:rPr>
                <w:sz w:val="19"/>
                <w:szCs w:val="19"/>
                <w:color w:val="auto"/>
              </w:rPr>
            </w:pPr>
          </w:p>
        </w:tc>
        <w:tc>
          <w:tcPr>
            <w:tcW w:w="8260" w:type="dxa"/>
            <w:vAlign w:val="bottom"/>
          </w:tcPr>
          <w:p>
            <w:pPr>
              <w:jc w:val="center"/>
              <w:ind w:right="90"/>
              <w:spacing w:after="0"/>
              <w:rPr>
                <w:sz w:val="20"/>
                <w:szCs w:val="20"/>
                <w:color w:val="auto"/>
              </w:rPr>
            </w:pPr>
            <w:r>
              <w:rPr>
                <w:rFonts w:ascii="Arial" w:cs="Arial" w:eastAsia="Arial" w:hAnsi="Arial"/>
                <w:sz w:val="18"/>
                <w:szCs w:val="18"/>
                <w:b w:val="1"/>
                <w:bCs w:val="1"/>
                <w:color w:val="auto"/>
              </w:rPr>
              <w:t>WESTLAKE CHEMICAL CORPORATION</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9"/>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 of dollars, except share amounts and per share data)</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83"/>
        </w:trPr>
        <w:tc>
          <w:tcPr>
            <w:tcW w:w="9940" w:type="dxa"/>
            <w:vAlign w:val="bottom"/>
            <w:gridSpan w:val="3"/>
          </w:tcPr>
          <w:p>
            <w:pPr>
              <w:ind w:left="400"/>
              <w:spacing w:after="0"/>
              <w:rPr>
                <w:sz w:val="20"/>
                <w:szCs w:val="20"/>
                <w:color w:val="auto"/>
              </w:rPr>
            </w:pPr>
            <w:r>
              <w:rPr>
                <w:rFonts w:ascii="Arial" w:cs="Arial" w:eastAsia="Arial" w:hAnsi="Arial"/>
                <w:sz w:val="18"/>
                <w:szCs w:val="18"/>
                <w:color w:val="auto"/>
              </w:rPr>
              <w:t>The information below represents the preliminary purchase price allocation: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88,251</w:t>
            </w:r>
          </w:p>
        </w:tc>
      </w:tr>
      <w:tr>
        <w:trPr>
          <w:trHeight w:val="270"/>
        </w:trPr>
        <w:tc>
          <w:tcPr>
            <w:tcW w:w="99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422,459</w:t>
            </w: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55,193</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306,158</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55,462</w:t>
            </w:r>
          </w:p>
        </w:tc>
      </w:tr>
      <w:tr>
        <w:trPr>
          <w:trHeight w:val="270"/>
        </w:trPr>
        <w:tc>
          <w:tcPr>
            <w:tcW w:w="99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3,134,741</w:t>
            </w:r>
          </w:p>
        </w:tc>
      </w:tr>
      <w:tr>
        <w:trPr>
          <w:trHeight w:val="270"/>
        </w:trPr>
        <w:tc>
          <w:tcPr>
            <w:tcW w:w="99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Customer relationships (weighted average lives of 10.7 years) </w:t>
            </w:r>
            <w:r>
              <w:rPr>
                <w:rFonts w:ascii="Arial" w:cs="Arial" w:eastAsia="Arial" w:hAnsi="Arial"/>
                <w:sz w:val="25"/>
                <w:szCs w:val="25"/>
                <w:color w:val="auto"/>
                <w:vertAlign w:val="superscript"/>
              </w:rPr>
              <w:t>(3)</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590,000</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Other intangible assets: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Trade name (weighted average lives of 6.8 years)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9940" w:type="dxa"/>
            <w:vAlign w:val="bottom"/>
            <w:gridSpan w:val="3"/>
          </w:tcPr>
          <w:p>
            <w:pPr>
              <w:ind w:left="280"/>
              <w:spacing w:after="0"/>
              <w:rPr>
                <w:sz w:val="20"/>
                <w:szCs w:val="20"/>
                <w:color w:val="auto"/>
              </w:rPr>
            </w:pPr>
            <w:r>
              <w:rPr>
                <w:rFonts w:ascii="Arial" w:cs="Arial" w:eastAsia="Arial" w:hAnsi="Arial"/>
                <w:sz w:val="18"/>
                <w:szCs w:val="18"/>
                <w:color w:val="auto"/>
              </w:rPr>
              <w:t>Technology (weighted average lives of 5.4 years)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41,500</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Supply contracts and leases (weighted average lives of 6.3 years)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27,288</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98,708</w:t>
            </w:r>
          </w:p>
        </w:tc>
      </w:tr>
      <w:tr>
        <w:trPr>
          <w:trHeight w:val="27"/>
        </w:trPr>
        <w:tc>
          <w:tcPr>
            <w:tcW w:w="6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0" w:type="dxa"/>
            <w:vAlign w:val="bottom"/>
            <w:tcBorders>
              <w:bottom w:val="single" w:sz="8" w:color="CCEEFF"/>
            </w:tcBorders>
            <w:shd w:val="clear" w:color="auto" w:fill="CCEEFF"/>
          </w:tcPr>
          <w:p>
            <w:pPr>
              <w:spacing w:after="0"/>
              <w:rPr>
                <w:sz w:val="22"/>
                <w:szCs w:val="22"/>
                <w:color w:val="auto"/>
              </w:rPr>
            </w:pPr>
          </w:p>
        </w:tc>
        <w:tc>
          <w:tcPr>
            <w:tcW w:w="92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 acquired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4,869,760</w:t>
            </w: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Accounts and notes payable</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255,232</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967</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152,550</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985,128</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Tax reserve non-current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3,130</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311,106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99,848</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1,187,290</w:t>
            </w:r>
          </w:p>
        </w:tc>
      </w:tr>
      <w:tr>
        <w:trPr>
          <w:trHeight w:val="237"/>
        </w:trPr>
        <w:tc>
          <w:tcPr>
            <w:tcW w:w="66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Total liabilities assumed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3,047,591</w:t>
            </w:r>
          </w:p>
        </w:tc>
      </w:tr>
      <w:tr>
        <w:trPr>
          <w:trHeight w:val="27"/>
        </w:trPr>
        <w:tc>
          <w:tcPr>
            <w:tcW w:w="6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0" w:type="dxa"/>
            <w:vAlign w:val="bottom"/>
            <w:tcBorders>
              <w:bottom w:val="single" w:sz="8" w:color="CCEEFF"/>
            </w:tcBorders>
            <w:shd w:val="clear" w:color="auto" w:fill="CCEEFF"/>
          </w:tcPr>
          <w:p>
            <w:pPr>
              <w:spacing w:after="0"/>
              <w:rPr>
                <w:sz w:val="22"/>
                <w:szCs w:val="22"/>
                <w:color w:val="auto"/>
              </w:rPr>
            </w:pPr>
          </w:p>
        </w:tc>
        <w:tc>
          <w:tcPr>
            <w:tcW w:w="92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identifiable net assets acquired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1,822,169</w:t>
            </w: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Noncontrolling interest</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(68,000)</w:t>
            </w:r>
          </w:p>
        </w:tc>
      </w:tr>
      <w:tr>
        <w:trPr>
          <w:trHeight w:val="27"/>
        </w:trPr>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887,491</w:t>
            </w:r>
          </w:p>
        </w:tc>
      </w:tr>
      <w:tr>
        <w:trPr>
          <w:trHeight w:val="257"/>
        </w:trPr>
        <w:tc>
          <w:tcPr>
            <w:tcW w:w="660" w:type="dxa"/>
            <w:vAlign w:val="bottom"/>
          </w:tcPr>
          <w:p>
            <w:pPr>
              <w:spacing w:after="0"/>
              <w:rPr>
                <w:sz w:val="22"/>
                <w:szCs w:val="22"/>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Total fair value allocated to net assets acquired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2,641,660</w:t>
            </w:r>
          </w:p>
        </w:tc>
      </w:tr>
      <w:tr>
        <w:trPr>
          <w:trHeight w:val="20"/>
        </w:trPr>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500" w:right="28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fair value of accounts receivable acquired is $422,459, with the gross contractual amount being $434,834. The Company expects $12,375 to be uncollectible.</w:t>
      </w:r>
    </w:p>
    <w:p>
      <w:pPr>
        <w:spacing w:after="0" w:line="8" w:lineRule="exact"/>
        <w:rPr>
          <w:rFonts w:ascii="Arial" w:cs="Arial" w:eastAsia="Arial" w:hAnsi="Arial"/>
          <w:sz w:val="18"/>
          <w:szCs w:val="18"/>
          <w:color w:val="auto"/>
        </w:rPr>
      </w:pPr>
    </w:p>
    <w:p>
      <w:pPr>
        <w:ind w:left="500" w:right="54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obtained additional information related to its property plant and equipment balances which led to a decrease in property plant and equipment of $54,841 and a corresponding increase in goodwill.</w:t>
      </w:r>
    </w:p>
    <w:p>
      <w:pPr>
        <w:spacing w:after="0" w:line="8" w:lineRule="exact"/>
        <w:rPr>
          <w:rFonts w:ascii="Arial" w:cs="Arial" w:eastAsia="Arial" w:hAnsi="Arial"/>
          <w:sz w:val="18"/>
          <w:szCs w:val="18"/>
          <w:color w:val="auto"/>
        </w:rPr>
      </w:pPr>
    </w:p>
    <w:p>
      <w:pPr>
        <w:ind w:left="500" w:right="62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obtained additional information related to its customer relationship balances which led to an increase in customer relationship of $30,000 and a corresponding decrease in goodwill.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Suzhou Huasu Plastics Co., Ltd.</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On June 1, 2015, the Company acquired an additional 35.7% equity interest in Suzhou Huasu Plastics Co., Ltd. ("Huasu") from INEOS Chlor Vinyls Holdings B.V., increasing its interest in Huasu to 95.0%. Huasu is a PVC joint venture based near Shanghai, in the People's Republic of China and has a combined annual capacity of 300 million pounds of PVC resin and 145 million pounds of PVC film and sheet.</w:t>
      </w:r>
    </w:p>
    <w:p>
      <w:pPr>
        <w:spacing w:after="0" w:line="12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Prior to the acquisition of this 35.7% interest, the Company owned a 59.3% interest in Huasu. The Company accounted for the investment using the equity method of accounting because Huasu did not meet the definition of a variable interest entity and because contractual arrangements giving certain substantive participatory rights to minority shareholders prevented the Company from exercising a controlling financial interest over Huasu. As a result of the Company obtaining control over Huasu, the Company's 59.3% interest was remeasured to fair value, resulting in a loss of $1,505, which is included in other income (expense), net in the consolidated statement of operations for the year ended December 31, 2015.</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14" w:right="239" w:bottom="1440" w:gutter="0" w:footer="0" w:header="0"/>
          <w:type w:val="continuous"/>
        </w:sectPr>
      </w:pPr>
    </w:p>
    <w:bookmarkStart w:id="72" w:name="page73"/>
    <w:bookmarkEnd w:id="7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The closing date purchase price of $5,518 was paid with available cash on hand. The acquisition was accounted for under the acquisition method of accounting. The transaction resulted in a bargain purchase acquisition-date gain of $22,550 and is recognized in other income (expense), net in the consolidated statement of operations. The Company believes there are several factors that contributed to this transaction resulting in a bargain purchase acquisition-date gain, including the slowdown in the growth of, and current weakness in, the Chinese economy. The assets acquired and liabilities assumed and the results of operations of this acquired business are included in the Vinyls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Vinnolit Holdings GmbH and Subsidiary Companies</w:t>
      </w:r>
    </w:p>
    <w:p>
      <w:pPr>
        <w:spacing w:after="0" w:line="90" w:lineRule="exact"/>
        <w:rPr>
          <w:sz w:val="20"/>
          <w:szCs w:val="20"/>
          <w:color w:val="auto"/>
        </w:rPr>
      </w:pPr>
    </w:p>
    <w:p>
      <w:pPr>
        <w:ind w:right="220" w:firstLine="432"/>
        <w:spacing w:after="0" w:line="271" w:lineRule="auto"/>
        <w:rPr>
          <w:sz w:val="20"/>
          <w:szCs w:val="20"/>
          <w:color w:val="auto"/>
        </w:rPr>
      </w:pPr>
      <w:r>
        <w:rPr>
          <w:rFonts w:ascii="Arial" w:cs="Arial" w:eastAsia="Arial" w:hAnsi="Arial"/>
          <w:sz w:val="17"/>
          <w:szCs w:val="17"/>
          <w:color w:val="auto"/>
        </w:rPr>
        <w:t>On July 31, 2014, the Company acquired all the equity interests in German-based Vinnolit Holdings GmbH and its subsidiary companies ("Vinnolit") from several entities associated with Advent International Corporation (the "Sellers"). Vinnolit is headquartered in Ismaning, Germany and is an integrated global leader in specialty PVC resins, with a combined annual capacity of 1.7 billion pounds of PVC, including specialty paste and suspension grades, 1.5 billion pounds of VCM and 1.0 billion pounds of caustic soda. The Vinnolit acquisition included six production facilities located in Burghausen, Gendorf, Cologne, Knapsack and Schkopau in Germany and Hillhouse in the United Kingdom. The Company also acquired Vinnolit's technical centers, including a research and development facility in Gendorf and an applications laboratory in Burghausen. The Company's management believes that this strategic acquisition will enhance its strategy of integration and expansion into new markets and specialty products, in addition to growing the Company's global presence with a footprint in Europe and surrounding markets.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purchase price of $736,224 was paid with available cash on hand. The acquisition was accounted for under the acquisition method of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acquired and liabilities assumed and the results of operations of this acquired business are included in the Vinyls segment.</w:t>
      </w:r>
    </w:p>
    <w:p>
      <w:pPr>
        <w:spacing w:after="0" w:line="234" w:lineRule="exact"/>
        <w:rPr>
          <w:sz w:val="20"/>
          <w:szCs w:val="20"/>
          <w:color w:val="auto"/>
        </w:rPr>
      </w:pPr>
    </w:p>
    <w:p>
      <w:pPr>
        <w:ind w:right="9520" w:firstLine="8"/>
        <w:spacing w:after="0" w:line="390" w:lineRule="auto"/>
        <w:tabs>
          <w:tab w:leader="none" w:pos="1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80" w:firstLine="405"/>
        <w:spacing w:after="0" w:line="286" w:lineRule="auto"/>
        <w:rPr>
          <w:sz w:val="20"/>
          <w:szCs w:val="20"/>
          <w:color w:val="auto"/>
        </w:rPr>
      </w:pPr>
      <w:r>
        <w:rPr>
          <w:rFonts w:ascii="Arial" w:cs="Arial" w:eastAsia="Arial" w:hAnsi="Arial"/>
          <w:sz w:val="17"/>
          <w:szCs w:val="17"/>
          <w:color w:val="auto"/>
        </w:rPr>
        <w:t>The Company had no held-to-maturity securities, classified as cash equivalents, at December 31, 2016. The Company had $221,918 of held-to-maturity securities with original maturities of three months or less, primarily consisting of corporate debt securities, classified as cash equivalents at December 31, 2015. The Company's investments in held-to-maturity securities were held at amortized cost, which approximates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 had restricted cash and cash equivalents of $186,216 at December 31, 2016, which are primarily related to the balances deposited with and held as security by the lender under the Company's current term loan facility and for distributions to certain of Axiall's current and former employees. The current portion of restricted cash and cash equivalents was $160,527. The non-current portion of $25,689 is reflected under Deferred charges and other assets, net on the consolidated balance sheet. The Company had no restricted cash balances at December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Marketable Securities</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Company had no available-for-sale securities at December 31, 2016. Investments in available-for-sale securities at December 31, 2015 were classified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520,144</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5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48,081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568,225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gross unrealized gains, gross unrealized losses and fair value of the Company's available-for-sale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40"/>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10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00" w:type="dxa"/>
            <w:vAlign w:val="bottom"/>
          </w:tcPr>
          <w:p>
            <w:pPr>
              <w:jc w:val="center"/>
              <w:ind w:left="380"/>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Losses</w:t>
            </w:r>
            <w:r>
              <w:rPr>
                <w:rFonts w:ascii="Arial" w:cs="Arial" w:eastAsia="Arial" w:hAnsi="Arial"/>
                <w:sz w:val="8"/>
                <w:szCs w:val="8"/>
                <w:b w:val="1"/>
                <w:bCs w:val="1"/>
                <w:color w:val="auto"/>
                <w:w w:val="86"/>
              </w:rPr>
              <w:t>(1)</w:t>
            </w: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 securities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336,665</w:t>
            </w:r>
          </w:p>
        </w:tc>
        <w:tc>
          <w:tcPr>
            <w:tcW w:w="100" w:type="dxa"/>
            <w:vAlign w:val="bottom"/>
          </w:tcPr>
          <w:p>
            <w:pPr>
              <w:spacing w:after="0"/>
              <w:rPr>
                <w:sz w:val="21"/>
                <w:szCs w:val="21"/>
                <w:color w:val="auto"/>
              </w:rPr>
            </w:pPr>
          </w:p>
        </w:tc>
        <w:tc>
          <w:tcPr>
            <w:tcW w:w="1100" w:type="dxa"/>
            <w:vAlign w:val="bottom"/>
          </w:tcPr>
          <w:p>
            <w:pPr>
              <w:jc w:val="right"/>
              <w:ind w:right="9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335,644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U.S. government debt </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135,226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134,854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49,759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49,646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54,371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48,081</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576,021</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525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568,225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unrealized loss positions were held at a loss for less than 12 months.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Treasury obligations, U.S. government agency obligations and U.S government agency mortgage-backed securities.</w:t>
      </w:r>
    </w:p>
    <w:p>
      <w:pPr>
        <w:spacing w:after="0" w:line="171"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As of December 31, 2015, net unrealized losses on the Company's available-for-sale securities was $4,995, net of income tax benefit of $2,801, which were recorded in accumulated other comprehensive income. See Note 16 for the fair value hierarchy of the Company's available-for-sale securities.</w:t>
      </w:r>
    </w:p>
    <w:p>
      <w:pPr>
        <w:spacing w:after="0" w:line="7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proceeds from sales and maturities of available-for-sale securities included in the consolidated statements of cash flows and the gross realized gains and losses included in the consolidated statements of operations are reflected in the table below. The cost of securities sold was determined using the specific identification method.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47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662,938</w:t>
            </w:r>
          </w:p>
        </w:tc>
        <w:tc>
          <w:tcPr>
            <w:tcW w:w="460" w:type="dxa"/>
            <w:vAlign w:val="bottom"/>
            <w:tcBorders>
              <w:bottom w:val="single" w:sz="8" w:color="CCEEFF"/>
            </w:tcBorders>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342,045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Gross realized gains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53,754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4. Accounts Receivable</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color w:val="auto"/>
              </w:rPr>
              <w:t>Accounts receivable consist of the following at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827,721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438,538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809,730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424,443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Federal and state taxes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90,414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60,748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380" w:type="dxa"/>
            <w:vAlign w:val="bottom"/>
            <w:tcBorders>
              <w:top w:val="single" w:sz="8" w:color="auto"/>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938,743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508,532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0" w:type="dxa"/>
            <w:vAlign w:val="bottom"/>
          </w:tcPr>
          <w:p>
            <w:pPr>
              <w:spacing w:after="0"/>
              <w:rPr>
                <w:sz w:val="24"/>
                <w:szCs w:val="24"/>
                <w:color w:val="auto"/>
              </w:rPr>
            </w:pPr>
          </w:p>
        </w:tc>
        <w:tc>
          <w:tcPr>
            <w:tcW w:w="10140" w:type="dxa"/>
            <w:vAlign w:val="bottom"/>
            <w:gridSpan w:val="15"/>
          </w:tcPr>
          <w:p>
            <w:pPr>
              <w:ind w:left="160"/>
              <w:spacing w:after="0"/>
              <w:rPr>
                <w:sz w:val="20"/>
                <w:szCs w:val="20"/>
                <w:color w:val="auto"/>
              </w:rPr>
            </w:pPr>
            <w:r>
              <w:rPr>
                <w:rFonts w:ascii="Arial" w:cs="Arial" w:eastAsia="Arial" w:hAnsi="Arial"/>
                <w:sz w:val="18"/>
                <w:szCs w:val="18"/>
                <w:color w:val="auto"/>
                <w:w w:val="91"/>
              </w:rPr>
              <w:t>Activity in our allowance for doubtful accounts during the years ended December 31, 2016, 2015 and 2014 is set forth in the table below:</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47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Beginning of Year, January 1</w:t>
            </w: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46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Charged to Expense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Additions/(Deductions)</w:t>
            </w:r>
          </w:p>
        </w:tc>
        <w:tc>
          <w:tcPr>
            <w:tcW w:w="4720" w:type="dxa"/>
            <w:vAlign w:val="bottom"/>
            <w:shd w:val="clear" w:color="auto" w:fill="CCEEFF"/>
          </w:tcPr>
          <w:p>
            <w:pPr>
              <w:jc w:val="right"/>
              <w:ind w:right="4517"/>
              <w:spacing w:after="0"/>
              <w:rPr>
                <w:sz w:val="20"/>
                <w:szCs w:val="20"/>
                <w:color w:val="auto"/>
              </w:rPr>
            </w:pPr>
            <w:r>
              <w:rPr>
                <w:rFonts w:ascii="Arial" w:cs="Arial" w:eastAsia="Arial" w:hAnsi="Arial"/>
                <w:sz w:val="13"/>
                <w:szCs w:val="13"/>
                <w:color w:val="auto"/>
                <w:w w:val="75"/>
                <w:shd w:val="clear" w:color="auto" w:fill="CCEEFF"/>
              </w:rPr>
              <w:t>(1)</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80" w:type="dxa"/>
            <w:vAlign w:val="bottom"/>
            <w:tcBorders>
              <w:bottom w:val="single" w:sz="8" w:color="CCEEFF"/>
            </w:tcBorders>
            <w:shd w:val="clear" w:color="auto" w:fill="CCEEFF"/>
          </w:tcPr>
          <w:p>
            <w:pPr>
              <w:spacing w:after="0"/>
              <w:rPr>
                <w:sz w:val="8"/>
                <w:szCs w:val="8"/>
                <w:color w:val="auto"/>
              </w:rPr>
            </w:pPr>
          </w:p>
        </w:tc>
        <w:tc>
          <w:tcPr>
            <w:tcW w:w="1740" w:type="dxa"/>
            <w:vAlign w:val="bottom"/>
            <w:tcBorders>
              <w:bottom w:val="single" w:sz="8" w:color="CCEEFF"/>
            </w:tcBorders>
            <w:vMerge w:val="continue"/>
            <w:shd w:val="clear" w:color="auto" w:fill="CCEEFF"/>
          </w:tcPr>
          <w:p>
            <w:pPr>
              <w:spacing w:after="0"/>
              <w:rPr>
                <w:sz w:val="8"/>
                <w:szCs w:val="8"/>
                <w:color w:val="auto"/>
              </w:rPr>
            </w:pPr>
          </w:p>
        </w:tc>
        <w:tc>
          <w:tcPr>
            <w:tcW w:w="47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Balance at End of Year, December 31</w:t>
            </w: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3"/>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ectPr>
          <w:pgSz w:w="11900" w:h="16838" w:orient="portrait"/>
          <w:cols w:equalWidth="0" w:num="1">
            <w:col w:w="11420"/>
          </w:cols>
          <w:pgMar w:left="240" w:top="122"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74" w:name="page75"/>
    <w:bookmarkEnd w:id="7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54"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Deductions primarily represent accounts receivable written off during the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253,338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216,877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106,435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74,287</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801,100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434,060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40"/>
              <w:spacing w:after="0"/>
              <w:rPr>
                <w:sz w:val="20"/>
                <w:szCs w:val="20"/>
                <w:color w:val="auto"/>
              </w:rPr>
            </w:pPr>
            <w:r>
              <w:rPr>
                <w:rFonts w:ascii="Arial" w:cs="Arial" w:eastAsia="Arial" w:hAnsi="Arial"/>
                <w:sz w:val="18"/>
                <w:szCs w:val="18"/>
                <w:color w:val="auto"/>
              </w:rPr>
              <w:t>Property, plant and equipment consist of the following at December 31:</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8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33,051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464,570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266,214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6,913,721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3,632,416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377,466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241,829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7,949,894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4,173,510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(1,919,229)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(1,685,255)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6,030,665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2,488,255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389,397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515,812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6,420,062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3,004,067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expense on property, plant and equipment of $305,273, $209,271 and $174,173 is included in cost of sales in the consolidated statements of operations for the years ended December 31, 2016, 2015 and 2014,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2" w:right="259" w:bottom="1440" w:gutter="0" w:footer="0" w:header="0"/>
        </w:sectPr>
      </w:pPr>
    </w:p>
    <w:bookmarkStart w:id="75" w:name="page76"/>
    <w:bookmarkEnd w:id="7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946,553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946,553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62,016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662,080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611,615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75,249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52,677</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380"/>
              <w:spacing w:after="0"/>
              <w:rPr>
                <w:sz w:val="20"/>
                <w:szCs w:val="20"/>
                <w:color w:val="auto"/>
              </w:rPr>
            </w:pPr>
            <w:r>
              <w:rPr>
                <w:rFonts w:ascii="Arial" w:cs="Arial" w:eastAsia="Arial" w:hAnsi="Arial"/>
                <w:sz w:val="18"/>
                <w:szCs w:val="18"/>
                <w:color w:val="auto"/>
              </w:rPr>
              <w:t>Licenses and intellectual</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520"/>
              <w:spacing w:after="0"/>
              <w:rPr>
                <w:sz w:val="20"/>
                <w:szCs w:val="20"/>
                <w:color w:val="auto"/>
              </w:rPr>
            </w:pPr>
            <w:r>
              <w:rPr>
                <w:rFonts w:ascii="Arial" w:cs="Arial" w:eastAsia="Arial" w:hAnsi="Arial"/>
                <w:sz w:val="18"/>
                <w:szCs w:val="18"/>
                <w:color w:val="auto"/>
              </w:rPr>
              <w:t>property</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120,992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76,957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79,699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41,056</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36,483</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31,038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21,172</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239,957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Deferred charges and</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380"/>
              <w:spacing w:after="0"/>
              <w:rPr>
                <w:sz w:val="20"/>
                <w:szCs w:val="20"/>
                <w:color w:val="auto"/>
              </w:rPr>
            </w:pPr>
            <w:r>
              <w:rPr>
                <w:rFonts w:ascii="Arial" w:cs="Arial" w:eastAsia="Arial" w:hAnsi="Arial"/>
                <w:sz w:val="18"/>
                <w:szCs w:val="18"/>
                <w:color w:val="auto"/>
              </w:rPr>
              <w:t>Equity-method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21,522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9,208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9,208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Turnaround costs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168,501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93,830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111,078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36,135</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78,795</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9"/>
        </w:trPr>
        <w:tc>
          <w:tcPr>
            <w:tcW w:w="2980" w:type="dxa"/>
            <w:vAlign w:val="bottom"/>
          </w:tcPr>
          <w:p>
            <w:pPr>
              <w:ind w:left="160"/>
              <w:spacing w:after="0"/>
              <w:rPr>
                <w:sz w:val="20"/>
                <w:szCs w:val="20"/>
                <w:color w:val="auto"/>
              </w:rPr>
            </w:pPr>
            <w:r>
              <w:rPr>
                <w:rFonts w:ascii="Arial" w:cs="Arial" w:eastAsia="Arial" w:hAnsi="Arial"/>
                <w:sz w:val="18"/>
                <w:szCs w:val="18"/>
                <w:color w:val="auto"/>
              </w:rPr>
              <w:t>Total deferred charges and</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422,518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327,868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283,298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176,625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2,271,108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2,061,875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568,667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390,029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Amortization expense on other assets of $73,757, $37,998 and $35,496 is included in the consolidated statements of operations for the years ended December 31, 2016, 2015 and 2014, respectively.</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Scheduled amortization of intangible assets for the next five years is as follows: $99,011, $98,669, $97,648, $95,717 and $94,214 in 2017, 2018, 2019, 2020 and 2021,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Goodwill is tested for impairment at least annually, or when events or changes in circumstances indicate the fair value of a reporting unit with goodwill has been reduced below its carrying value. The Company performed its annual impairment tests for the Olefins and Vinyls segments' goodwill in October 2016 and April 2016, respectively, and the impairment tests indicated that the recorded goodwill was not impaired. There has been no impairment of the Olefins or Vinyls segments' goodwill since the goodwill was initially recorded. The gross carrying amounts of goodwill for the years ended December 31, 2016 and 2015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Olefins Segment</w:t>
            </w: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Vinyls Segment</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7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62,016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62,016</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 during the year</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887,491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Effects of changes in foreign exchange rates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29,990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916,563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946,553</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6" w:name="page77"/>
    <w:bookmarkEnd w:id="7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Olefins Segment Goodwill</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fair value of the Olefins segment, the reporting unit assessed, was calculated using both a discounted cash flow methodology and a market value methodology. The discounted cash flow projections were based on a nine-year forecast, from 2017 to 2025, to reflect the cyclicality of the Company's olefins business. The forecast was based on (1) prices and spreads projected by IHS Chemical, a chemical industry organization offering market and business advisory services for the chemical market, for the same period, and (2) estimates by management, including its strategic and operational plans. Other significant assumptions used in the discounted cash flow projection included sales volumes based on current capacities. The future cash flows were discounted to present value using a discount rate of 8.8%.</w:t>
      </w:r>
    </w:p>
    <w:p>
      <w:pPr>
        <w:spacing w:after="0" w:line="13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Even if the fair value of the Olefins segment decreased by 10%, the carrying value of the Olefins segment would not exceed its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Vinyls Segment Goodwill</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fair value of the pipe and foundation building products business, the reporting unit assessed during the April 2016 impairment test, was calculated using both a discounted cash flow methodology and a market value methodology. The discounted cash flow projections were based on a nine-year forecast, from 2016 to 2024, to reflect the cyclicality of the North American housing and construction markets as the Company's North American Vinyls business is significantly influenced by said markets. The forecast was based on historical results and estimates by management, including its strategic and operational plans, and assumed a gradual increase in financial performance based on a housing market recovery in the United States. The future cash flows were discounted to present value using a discount rate of 11.5%.</w:t>
      </w:r>
    </w:p>
    <w:p>
      <w:pPr>
        <w:spacing w:after="0" w:line="13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Even if the fair value of the reporting unit decreased by 10%, the carrying value of the reporting unit would not have exceeded its fair value.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and Notes Payable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and notes payable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229,219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Notes payable to banks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6,110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496,259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235,329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w:t>
      </w:r>
    </w:p>
    <w:p>
      <w:pPr>
        <w:spacing w:after="0" w:line="9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August 10, 2016, an indirect subsidiary of the Company, Westlake International Holdings II C.V., a limited partnership organized under the laws of the Netherlands (the "CV Borrower"), entered into a credit agreement with Bank of America, N.A., as agent and lender, providing the CV Borrower with a $150,000 term loan facility. The term loan facility had a maturity date of March 31, 2017. The term loan was fully repaid in January 2017. The loans thereunder bore interest at a floating interest rate equal to LIBOR plus 2% per annum, payable in arrears on the last day of each three-month period following the date of funding and at maturity. The interest rate on the outstanding term loan was 2.68% at December 31, 2016.</w:t>
      </w:r>
    </w:p>
    <w:p>
      <w:pPr>
        <w:spacing w:after="0" w:line="11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facility contained customary covenants and events of default that imposed certain operating and financial restrictions on the CV Borrower and certain of its subsidiaries. These restrictions, among other things, provided limitations on the incurrence of additional indebtedness and liens and the ability to engage in certain transactions with affiliates.</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Pursuant to the credit agreement, all of the non-U.S. subsidiaries of the Company were to remain owned, directly or indirectly, by the CV Borrower and its wholly owned subsidiary, Westlake International II LLC, a Delaware limited liability company ("WII LLC"). The CV Borrower was also required, together with its subsidiaries, to maintain at all times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7" w:name="page78"/>
    <w:bookmarkEnd w:id="7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unencumbered cash and cash equivalents in a U.S. dollar equivalent of not less than $150,000, which amount would be increased by 5% to the extent maintained in non-U.S. currencies. In connection therewith, an amount of cash and cash equivalents for the period (a) from the closing date until the date 30 days thereafter, not less than $50,000, and (b) thereafter, not less than $75,000, was required to be maintained by the CV Borrower and its subsidiaries in accounts at Bank of America, N.A., in accordance with cash management agreements.</w:t>
      </w:r>
    </w:p>
    <w:p>
      <w:pPr>
        <w:spacing w:after="0" w:line="13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Obligations under the term loan facility were secured by a pledge of 65% of the membership interests of WII LLC as well as rights under the partnership agreement of Westlake International Holdings C.V., a limited partnership organized under the laws of the Netherlands, held by WII LLC and the CV Borrower.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7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adopted an accounting standards update to simplify the presentation of debt issuance costs effective January 1, 2016. The standard requires, on a retrospective basis, all costs incurred to issue debt, excluding line-of-credit arrangements, to be presented in the balance sheet as a direct deduction from the carrying value of the associated debt liability. As a result of this retrospective adoption and reclassification of equity-method investment of $9,208 to other assets for comparative purposes, Other assets, net—Deferred charges and other assets, net and Long-term debt, net on the consolidated balance sheet as of December 31, 2015 have been adjusted to $176,625 and $758,148, respectively, from the originally reported $173,384 and $764,115, respectively, to reflect the retrospective application of the new accounting guidance. Long-term debt consists of the following at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Unamortized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Unamortized</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Premium,</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Discount and</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Long-Term</w:t>
            </w:r>
          </w:p>
        </w:tc>
        <w:tc>
          <w:tcPr>
            <w:tcW w:w="200" w:type="dxa"/>
            <w:vAlign w:val="bottom"/>
          </w:tcPr>
          <w:p>
            <w:pPr>
              <w:spacing w:after="0"/>
              <w:rPr>
                <w:sz w:val="12"/>
                <w:szCs w:val="12"/>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Net Long-Term</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Principal 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4.625% senior notes due 2021 (the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"4.625% Westlake 2021 Senior Notes")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624,793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651,630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4.625% senior notes due 2021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"4.625% Subsidiary 2021 Senior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3.60% senior notes due 2022</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248,109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247,768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4.875% senior notes due 2023 (the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"4.875% Westlake 2023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4.875% senior notes due 2023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(the "4.875% Subsidiary 2023 Senior</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Notes")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16,207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16,747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3.60% senior notes due 2026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"3.60% 2026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Loan related to tax-exempt waste disposal</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revenue bonds due 2027</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 ½% senior notes due 2029</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99,011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6 ¾% senior notes due 2032</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248,117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247,998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½% senior notes due 2035 (the "6 ½%</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2035 GO Zone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88,116</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6 ½% senior notes due 2035 (the "6 ½%</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rPr>
              <w:t>2035 IKE Zone Senior Notes")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64,398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64,366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 senior notes due 2046 (the "5.0%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2046 Senior Notes")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673,983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3,677,889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3,678,654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764,889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758,148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7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unamortized debt issuance costs of $24,113 and $5,967 at December 31, 2016 and December 31, 2015,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August 23, 2016, the Company and certain of its subsidiaries entered into an unsecured revolving credit facility (the "Credit Agreement"), by and among the Company, the other borrowers and guarantors referred to therein, the lenders from time to time party thereto (collectively, the "Lenders"), the issuing banks party thereto and JPMorgan Chase Bank, National Association, as Administrative Agent. Under the Credit Agreement, the Lenders have committed to provide an unsecured five-year revolving credit facility in an aggregate principal amount of up to $1,000,000. The Credit Agreement replaced the Company's existing $400,000 senior secured third amended and restated credit facility, dated as of July 17, 2014, by and among the Company, the financial institutions party thereto, as lenders, Bank of America, N.A., as agent, and the Company and certain of its subsidiaries, as borrowers. The Credit Agreement includes a $150,000 sub-limit for letters of credit, and any outstanding letters of credit will be deducted from availability under the facility. The Credit Agreement also provides for a discretionary $50,000 commitment for swing line loans to be provided on a same-day basis. The Company may also increase the size of the facility, in increments of at least $25,000, up to a maximum of $500,000, subject to certain conditions and if certain Lenders agree to commit to such an increase. At December 31, 2016, the Company had $325,000 of borrowings outstanding under the Credit Agreement. Borrowings under the Credit Agreement will bear interest, at the Company's option, at either (a) LIBOR plus a spread ranging from 1.00% to 1.75% that will vary depending on the credit rating of the Company or (b) Alternate Base Rate plus a spread ranging from 0.00% to 0.75% that will vary depending on the credit rating of the Company. The Credit Agreement also requires an undrawn commitment fee ranging from 0.10% to 0.25% that will vary depending on the credit rating of the Company. The interest rate on the outstanding revolving credit facility was 2.19% at December 31, 2016. The Credit Agreement matures on August 23, 2021. As of December 31, 2016, the Company had outstanding letters of credit totaling $76,535 and borrowing availability of $598,465 under the Credit Agreement.</w:t>
      </w:r>
    </w:p>
    <w:p>
      <w:pPr>
        <w:spacing w:after="0" w:line="12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obligations of the Company under the Credit Agreement are guaranteed by current and future material domestic subsidiaries of the Company, subject to certain exceptions. The Credit Agreement contains certain affirmative and negative covenants, including a quarterly total leverage ratio financial maintenance covenant. The Credit Agreement also contains certain events of default and if and for so long as an event of default has occurred and is continuing, any amounts outstanding under the Credit Agreement will accrue interest at an increased rate, the Lenders can terminate their commitments thereunder and payments of any outstanding amounts could be accelerated by the Lenders. As of December 31, 2016, the Company is in compliance with the total leverage ratio financial maintenance covenant.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3.60% Senior Notes due 2026 and 5.0% Senior Notes due 2046</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August 10, 2016, the Company completed its private offering of $750,000 aggregate principal amount of 3.60% senior notes due 2026 (the "3.60% 2026 Senior Notes") and $700,000 aggregate principal amount of 5.0% senior notes due 2046 (the "5.0% 2046 Senior Notes"). The 3.60% 2026 Senior Notes and the 5.0% 2046 Senior Notes are the Company's senior obligations and are guaranteed on a senior basis by certain of the Company's existing and future domestic subsidiaries. The 3.60% 2026 Senior Notes and the 5.0% 2046 Senior Notes and guarantees are unsecured and rank equally with the Company's existing and future senior unsecured obligations and each guarantor's existing and future senior unsecured obligations. The Company has entered into a registration rights agreement in which it has agreed to file an exchange offer registration statement or, under specified circumstances, a shelf registration statement, with the SEC with respect to the 3.60% 2026 Senior Notes and the 5.0% 2046 Senior Notes. The net proceeds from the offering were used to finance the Merger and to repay amounts under the term loan facility dated February 27, 2015 entered into by Axiall Holdco, Inc. (a wholly-owned subsidiary of Axiall), as the borrower, with the financial institutions party thereto. The indenture governing the 3.60% 2026 Senior Notes and the 5.0% 2046 Senior Notes contains customary events of default and covenants that will restrict the Company's and certain of its subsidiaries' ability to (1) incur certain secured indebtedness, (2) engage in certain sale-leaseback transactions and (3) consolidate, merge or transfer all or substantially all of the Company's or their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Offers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On September 7, 2016, the Company completed offers to exchange (the "Axiall Exchange Offers") any and all of the $688,000 aggregate principal amount of the outstanding 4.625% senior notes due 2021 (the "4.625% Subsidiary 2021 Senior Notes") issued by Eagle Spinco Inc. ("Eagle Spinco"), a wholly-owned subsidiary of Axiall, and the $450,000 aggregate principal amount of the outstanding 4.875% senior notes due 2023 (the "4.875% Subsidiary 2023 Senior Notes" and, together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1" w:right="279" w:bottom="1440" w:gutter="0" w:footer="0" w:header="0"/>
        </w:sectPr>
      </w:pPr>
    </w:p>
    <w:bookmarkStart w:id="79" w:name="page80"/>
    <w:bookmarkEnd w:id="7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with the 4.625% Subsidiary 2021 Senior Notes, the "Subsidiary Notes") issued by Axiall for new senior notes issued by the Company having the same maturity and interest rates as the Subsidiary Notes. The 4.625% Subsidiary 2021 Senior Notes and the 4.875% Subsidiary 2023 Senior Notes were assumed at fair value, which resulted in a premium on the Subsidiary Notes of $33,540 and $15,750, respectively. In the Axiall Exchange Offers, $624,793 aggregate principal amount of the 4.625% Subsidiary 2021 Senior Notes and $433,793 aggregate principal amount of the 4.875% Subsidiary 2023 Senior Notes were exchanged, respectively, for $624,793 aggregate principal amount of 4.625% Subsidiary 2021 Senior Notes (the "4.625% Westlake 2021 Senior Notes") and $433,793 aggregate principal amount of 4.875% senior notes due 2023 (the "4.875% Westlake 2023 Senior Notes") issued by the Company, leaving outstanding $63,207 aggregate principal amount of the 4.625% Subsidiary 2021 Senior Notes and $16,207 aggregate principal amount of the 4.875% Subsidiary 2023 Senior Notes. The remaining 4.625% Subsidiary 2021 Senior Notes and the remaining 4.875% Subsidiary 2023 Senior Notes are the senior unsecured obligations of Axiall and Eagle Spinco, respectively. The 4.625% Westlake 2021 Senior Notes and the 4.875% Westlake 2023 Senior Notes are the Company's senior obligations and are guaranteed on a senior basis by certain of the Company's existing and future domestic subsidiaries. The 4.625% Westlake 2021 Senior Notes and the 4.875% Westlake 2023 Senior Notes and guarantees are unsecured and rank equally with the Company's existing and future senior unsecured obligations and each guarantor's existing and future senior unsecured obligations. The Company has entered into a registration rights agreement in which it has agreed to file an exchange offer registration statement or, under specified circumstances, a shelf registration statement, with the SEC with respect to the 4.625% Westlake 2021 Senior Notes and the 4.875% Westlake 2023 Senior Notes. The indenture governing the 4.625% Westlake 2021 Senior Notes and the 4.875% Westlake 2023 Senior Notes contains customary events of default and covenants that will restrict the Company's and certain of its subsidiaries' ability to (1) incur certain secured indebtedness, (2) engage in certain sale-leaseback transactions and (3) consolidate, merge or transfer all or substantially all of the Company's or their assets.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3.60% Senior Notes due 2022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2012, the Company issued $250,000 aggregate principal amount of its 3.60% senior notes due 2022 (the "3.60% Notes Due 2022"). The 3.60%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Due 2022 are unsecured and were issued with an original issue discount of $1,183. There is no sinking fund and no scheduled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3.60% Notes Due 2022 prior to maturity. The Company may optionally redeem the 3.60% Notes Due 2022 at any time and from time to time prior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15, 2022 (three months prior to the maturity date) for 100% of the principal plus accrued interest and a discounted "make whole" payment. On or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15, 2022, the Company may optionally redeem the 3.60% Notes Due 2022 for 100% of the principal plus accrued interest. The holders of the 3.60%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2022 may require the Company to repurchase the 3.60% Notes Due 2022 at a price of 101% of their principal amount, plus accrued and unpaid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to the date of repurchase, upon the occurrence of both a "change of control" and, within 60 days of such change of control, a "below investment grade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rating event" (as such terms are defined in the indenture governing the 3.60% Notes Due 2022). All domestic subsidiaries of the Company that guarantee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indebtedness of the Company or of another guarantor of the 3.60% Notes Due 2022 in excess of $5,000 are guarantors of the 3.60% Notes Due</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2022.The indenture governing the 3.60% Notes Due 2022 contains customary events of default and covenants that will restrict the Company's and certain of its subsidiaries' ability to (1) incur certain secured indebtedness, (2) engage in certain sale-leaseback transactions and (3) consolidate, merge or transfer all or substantially all of the Company's assets.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 Zone Bonds</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December 2010, the Louisiana Local Government Environmental Facility and Development Authority (the "Authority"), a political subdivision of the State of Louisiana, completed the offering of $89,000 of 6 ½% tax-exempt revenue bonds due November 1, 2035 under the Gulf Opportunity Zone Act of 2005 (the "GO Zone Act").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w:t>
      </w:r>
    </w:p>
    <w:p>
      <w:pPr>
        <w:spacing w:after="0" w:line="11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July 2010, the Authority completed the reoffering of $100,000 of 6 ½% tax-exempt revenue bonds due August 1, 2029 under the GO Zone Act. The bonds are subject to optional redemption by the Authority upon the direction of the Company at any time prior to August 1, 2020 for 100% of the principal plus accrued interest and a discounted "make whole" payment. On or after August 1, 2020, the bonds are subject to optional redemption by the Authority upon the direction of the Company for 100% of the principal plus accrued interest.</w:t>
      </w:r>
    </w:p>
    <w:p>
      <w:pPr>
        <w:spacing w:after="0" w:line="13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December 2007, the Authority issued $250,000 of 6 ¾% tax-exempt revenue bonds due November 1, 2032 under the GO Zone Act. The bonds are subject to optional redemption by the Authority upon the direction of the Company at any time prior to November 1, 2017 for 100% of the principal plus accrued interest and a discounted "make whole" payment. On or after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2" w:right="259" w:bottom="1440" w:gutter="0" w:footer="0" w:header="0"/>
        </w:sectPr>
      </w:pPr>
    </w:p>
    <w:bookmarkStart w:id="80" w:name="page81"/>
    <w:bookmarkEnd w:id="8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November 1, 2017, the bonds are subject to optional redemption by the Authority upon the direction of the Company for 100% of the principal plus accrued interest.</w:t>
      </w:r>
    </w:p>
    <w:p>
      <w:pPr>
        <w:spacing w:after="0" w:line="116"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Each series of the bonds is subject to redemption and the holders may require the bonds to be repurchased upon a change of control or a change in or loss of the current tax status of the bonds. In addition, the bonds are subject to optional redemption by the Authority upon the direction of the Company if certain events have occurred in connection with the operation of the projects for which the bond proceeds may be used, including if the Company has determined that the continued operation of any material portion of the projects would be impracticable, uneconomical or undesirable for any reason.</w:t>
      </w:r>
    </w:p>
    <w:p>
      <w:pPr>
        <w:spacing w:after="0" w:line="10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connection with each offering of the bonds, the Company entered into a loan agreement with the Authority pursuant to which the Company agreed to pay all of the principal, premium, if any, and interest on the bonds and certain other amounts to the Authority. The net proceeds from the offerings were loaned by the Authority to the Company. The Company used the proceeds to expand, refurbish and maintain certain of its facilities in the Louisiana Parishes of Calcasieu and Ascension. The bonds are unsecured and rank equally in right of payment with other existing and future unsecured senior indebtedness. All domestic restricted subsidiaries that guarantee other debt of the Company or of another guarantor of the 6 ½% senior notes due 2029, the 6 ¾% senior notes due 2032 and the 6 ½% 2035 GO Zone Senior Notes (collectively, and including the 6 ½% 2035 IKE Zone Senior Notes, the "Senior Notes") in excess of $5,000 are guarantors of the bonds. As of December 31, 2016, the Company had drawn all the proceeds from the 6 ½% bonds due 2029, 6 ¾% bonds due 2032 and 6 ½% 2035 GO Zone Senior Notes.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IKE Zone Bonds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December 2010, the Authority completed the offering of $65,000 of 6 ½% tax-exempt revenue bonds due November 1, 2035 under Section 704 of the Emergency Economic Stabilization Act of 2008. The bonds are subject to optional redemption by the Authority upon the direction of the Company at any time prior to November 1, 2020 for 100% of the principal plus accrued interest and a discounted "make whole" payment. On or after November 1, 2020, the bonds are subject to optional redemption by the Authority upon the direction of the Company for 100% of the principal plus accrued interest. The bonds are subject to redemption, repurchase by the holders upon a change of control or a change in or loss of the current tax status of the bonds and optional redemption by the Authority under terms substantially similar to the terms for the GO Zone Bonds.</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connection with the offering of the bonds, the Company entered into a loan agreement with the Authority pursuant to which the Company agreed to pay all of the principal, premium, if any, and interest on the bonds and certain other amounts to the Authority. The net proceeds from the offering were loaned by the Authority to the Company. The Company used the proceeds to expand, refurbish and maintain certain of its facilities in the Louisiana Parish of Calcasieu. The 6 ½% 2035 IKE Zone Senior Notes are unsecured and rank equally in right of payment with other existing and future unsecured senior indebtedness. All domestic restricted subsidiaries that guarantee other debt of the Company or of another guarantor of the Senior Notes in excess of $5,000 are guarantors of the 6 ½% 2035 IKE Zone Senior Notes. As of December 31, 2016, the Company had drawn all the proceeds from the 6 ½% 2035 IKE Zone Senior Notes.</w:t>
      </w:r>
    </w:p>
    <w:p>
      <w:pPr>
        <w:spacing w:after="0" w:line="135"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The indentures governing the Senior Notes contain customary covenants and events of default. Accordingly, these agreements generally impose significant operating and financial restrictions on the Company. These restrictions, among other things, provide limitations on incurrence of additional indebtedness, the payment of dividends, certain investments and acquisitions and sales of assets. However, the effectiveness of certain of these restrictions is currently suspended because the Senior Notes are currently rated investment grade by at least two nationally recognized credit rating agencies. The most significant of these provisions, if it were currently effective, would restrict the Company from incurring additional debt, except specified permitted debt (including borrowings under its credit facility), when the Company's fixed charge coverage ratio is below 2.0:1. These limitations are subject to a number of important qualifications and exceptions, including, without limitation, an exception for the payment of the Company's regular quarterly dividend of up to $0.10 per share. If the restrictions were currently effective, distributions in excess of $100,000 would not be allowed unless, after giving pro forma effect to the distribution, the Company's fixed charge coverage ratio is at least 2.0:1 and such payment, together with the aggregate amount of all other distributions after January 13, 2006, is less than the sum of 50% of the Company's consolidated net income for the period from October 1, 2003 to the end of the most recent quarter for which financial statements have been filed, plus 100% of net cash proceeds received after October 1, 2003 as a contribution to the Company's common equity capital or from the issuance or sale of certain securities, plus several other adjustments.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1" w:right="279" w:bottom="1440" w:gutter="0" w:footer="0" w:header="0"/>
        </w:sectPr>
      </w:pPr>
    </w:p>
    <w:bookmarkStart w:id="81" w:name="page82"/>
    <w:bookmarkEnd w:id="8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Bonds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December 1997, the Company entered into a loan agreement with a public trust established for public purposes for the benefit of the Parish of Calcasieu, Louisiana. The public trust issued $10,889 principal amount of tax-exempt waste disposal revenue bonds in order to finance the Company's construction of waste disposal facilities for an ethylene plant. 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December 31, 2016 and 2015 was 0.79% and 0.07%,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Agreement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June 2016, in connection with the Axiall acquisition, the Company entered into a commitment letter with various lenders pursuant to which such lenders agreed to provide for a senior unsecured bridge loan facility of up to $1,765,000 in the aggregate. Also in June 2016, the Company paid structuring and other fees of approximately $9,700 in connection with the senior unsecured bridge loan facility. On August 26, 2016, the Company terminated the senior unsecured bridge loan facility. This structuring and other fees is included in other income, net, in the consolidated statements of operations for the year ended December 31, 2016.</w:t>
      </w:r>
    </w:p>
    <w:p>
      <w:pPr>
        <w:spacing w:after="0" w:line="134"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As of December 31, 2016, the Company was in compliance with all of the covenants with respect to the Credit Agreement, 3.60% 2026 Senior Notes, 5.0% 2046 Senior Notes, 4.625% Westlake 2021 Senior Notes, 4.875% Westlake 2023 Senior Notes, 3.60% Senior Notes Due 2022 and the waste disposal revenue bonds.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4.4% at December 31, 2016 and 5.5% at December 31, 2015.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Company had no maturities of long-term debt until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Company's Board of Directors has declared regular quarterly dividends to holders of its common stock aggregating $96,560, $91,551 and $77,656 for the years ended December 31, 2016,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Each share of common stock entitles the holder to one vote on all matters on which holders are permitted to vote, including the election of directors. There are no cumulative voting rights. Accordingly, holders of a majority of the total votes entitled to vote in an election of directors will be able to elect all of the directors standing for election. Subject to preferences that may be applicable to any outstanding preferred stock, the holders of the common stock will share equally on a per share basis any dividends when, as and if declared by the Board of Directors out of funds legally available for that purpose. If the Company is liquidated, dissolved or wound up, the holders of the Company's common stock will be entitled to a ratable share of any distribution to stockholders, after satisfaction of all the Company's liabilities and of the prior rights of any outstanding class of the Company's preferred stock. The Company's common stock has no preemptive or conversion rights or other subscription rights. There are no redemption or sinking fund provisions applicable to the Company's common stock.</w:t>
      </w:r>
    </w:p>
    <w:p>
      <w:pPr>
        <w:spacing w:after="0" w:line="13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February 14, 2014, the Company's Board of Directors authorized a two-for-one split of the Company's common stock. Stockholders of record as of February 28, 2014 were entitled to one additional share for every share outstanding, which was distributed on March 18, 2014. The total number of authorized common stock shares and associated par value were unchanged by this stock split.</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2014, the stockholders of the Company approved an amendment to the Company's Amended and Restated Certificate of Incorporation to increase the Company's authorized shares of common stock from 150,000,000 shares to 300,000,000 shares, par value $0.01 per share. The Company issued 134,651,380 and 134,663,244 shares of common stock as of December 31, 2016 and 2015,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Company's charter authorizes the issuance of shares of preferred stock. The Company's Board of Directors has the authority, without shareholder approval, to issue preferred shares from time to time in one or more series, and to fix the number of shares and terms of each such series. The Board may determine the designations and other terms of each series including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2" w:name="page83"/>
    <w:bookmarkEnd w:id="8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dividend rates, whether dividends will be cumulative or non-cumulative, redemption rights, liquidation rights, sinking fund provisions, conversion or exchange rights and voting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In August 2011, the Company's Board of Directors authorized a stock repurchase program of the Company's common stock totaling $100,000 (the "2011 Program"). As of March 31, 2015, the Company had repurchased 1,944,161 shares of its common stock for an aggregate purchase price of approximately $100,000 under the 2011 Program, the full amount of the 2011 Program. In November 2014, the Company's Board of Directors approved a new $250,000 share repurchase program (the "2014 Program"). On November 20, 2015, the Company's Board of Directors approved the expansion of the 2014 Program by an additional $150,000. The total number of shares repurchased by the Company under the 2014 Program was 1,511,109 and 2,682,489 for the years ended December 31, 2016 and 2015, respectively. Any shares repurchased under the 2011 and 2014 Programs are held by the Company as treasury stock and may be used for general corporate purposes, including for the 2013 Omnibus Incentive Plan. Beginning in 2014, the Company began delivering treasury shares to employees and nonemployee directors for options exercised and for the settlement of restricted stock units. The cost of treasury shares delivered was determined using the specific identification method.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accumulated other comprehensive income (loss) by component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Benefits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Unrealized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Holding Gains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Liability,</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on Investments,</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of Tax</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Exchange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of Tax</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(79,433)</w:t>
            </w: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reclassifications</w:t>
            </w:r>
          </w:p>
        </w:tc>
        <w:tc>
          <w:tcPr>
            <w:tcW w:w="2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12,877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other comprehensive income (loss) for the year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(129,292)</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reclassifications</w:t>
            </w:r>
          </w:p>
        </w:tc>
        <w:tc>
          <w:tcPr>
            <w:tcW w:w="2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57,004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58,703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other comprehensive income (loss) for the year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37,552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provides the details of the amounts reclassified from accumulated other comprehensive income (loss) into net income in the 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Location of Reclassification</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(Income (Expense)) in</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Details about Accumulated Other</w:t>
            </w:r>
          </w:p>
        </w:tc>
        <w:tc>
          <w:tcPr>
            <w:tcW w:w="31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Consolidated Statements</w:t>
            </w:r>
          </w:p>
        </w:tc>
        <w:tc>
          <w:tcPr>
            <w:tcW w:w="360" w:type="dxa"/>
            <w:vAlign w:val="bottom"/>
          </w:tcPr>
          <w:p>
            <w:pPr>
              <w:spacing w:after="0"/>
              <w:rPr>
                <w:sz w:val="10"/>
                <w:szCs w:val="10"/>
                <w:color w:val="auto"/>
              </w:rPr>
            </w:pPr>
          </w:p>
        </w:tc>
        <w:tc>
          <w:tcPr>
            <w:tcW w:w="11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Comprehensive Income (Loss) Components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Operations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and other</w:t>
            </w: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items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Prior service costs</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2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Curtailment</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benefits</w:t>
            </w:r>
          </w:p>
        </w:tc>
        <w:tc>
          <w:tcPr>
            <w:tcW w:w="2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unrealized gains on available-for-</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 investments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Realized gain on available-</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for-sale investments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53,720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reclassifications for the period</w:t>
            </w:r>
          </w:p>
        </w:tc>
        <w:tc>
          <w:tcPr>
            <w:tcW w:w="2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220" w:hanging="412"/>
        <w:spacing w:after="0" w:line="277"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accumulated other comprehensive loss components are included in the computation of net periodic benefit cost. For additional information, see Note 13.</w:t>
      </w:r>
    </w:p>
    <w:p>
      <w:pPr>
        <w:spacing w:after="0" w:line="193" w:lineRule="exact"/>
        <w:rPr>
          <w:sz w:val="20"/>
          <w:szCs w:val="20"/>
          <w:color w:val="auto"/>
        </w:rPr>
      </w:pPr>
    </w:p>
    <w:p>
      <w:pPr>
        <w:ind w:right="9360" w:firstLine="8"/>
        <w:spacing w:after="0" w:line="346" w:lineRule="auto"/>
        <w:tabs>
          <w:tab w:leader="none" w:pos="27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i w:val="1"/>
          <w:iCs w:val="1"/>
          <w:color w:val="auto"/>
        </w:rPr>
        <w:t>U.S. Plans</w:t>
      </w:r>
    </w:p>
    <w:p>
      <w:pPr>
        <w:ind w:right="100" w:firstLine="432"/>
        <w:spacing w:after="0" w:line="291" w:lineRule="auto"/>
        <w:rPr>
          <w:sz w:val="20"/>
          <w:szCs w:val="20"/>
          <w:color w:val="auto"/>
        </w:rPr>
      </w:pPr>
      <w:r>
        <w:rPr>
          <w:rFonts w:ascii="Arial" w:cs="Arial" w:eastAsia="Arial" w:hAnsi="Arial"/>
          <w:sz w:val="16"/>
          <w:szCs w:val="16"/>
          <w:color w:val="auto"/>
        </w:rPr>
        <w:t>The Company has defined contribution savings plans covering the eligible U.S. regular full-time and part-time employees, whereby eligible employees may elect to contribute up to 100% of their annual eligible compensation, subject to an annual plan limit in line with the annual elective contribution limit as determined by the Internal Revenue Service. The Company matches its employee's contribution up to a certain percentage of such employee's compensation, per the terms of the respective plans. The Company may, at its discretion and per the terms of the respective plans, make an additional non-matching contribution in an amount as the Board of Directors may determine. For the years ended December 31, 2016, 2015 and 2014, the Company recorded approximately $10,697, $7,594 and $6,856, respectively, to expense for these contributions. The Company's charge for the year ended December 31, 2016 includes company contribution pertaining to Axiall's defined contribution savings plans for the four-month period since the completion of the Merger.</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within a defined contribution savings plan, the Company also makes an annual retirement contribution to substantially all employees of one subsidiary who have completed one year of service. The Company's contributions to the plan are determined as a percentage of employees' base and overtime pay. For the years ended December 31, 2016, 2015 and 2014, the Company charged approximately $16,766, $11,715 and $8,309, respectively, to expense for these contributions.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various defined contribution plans in Germany, the United Kingdom, Italy and Belgium covering eligible employees of our European operations. The Company's contributions to the plans are based on applicable laws in each country. Contributions to the Company's non-U.S. defined contribution plans are made by both the employee and the Company. For the years ended December 31, 2016, 2015 and 2014, the Company charged approximately $2,028, $1,912 and $416, respectively, to expense for its contributions to these plans.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4" w:name="page85"/>
    <w:bookmarkEnd w:id="8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has noncontributory defined benefit pension plans that cover certain eligible salaried and wage employees of certain subsidiaries. However, eligibility for the Company's plans has been frozen. Benefits for salaried employees under these plans are based primarily on years of service and employees' pay near retirement. Benefits for wage employees are based upon years of service and a fixed amount as periodically adjusted. The Company recognizes the years of service prior to the Company's acquisition of the subsidiary's facilities for purposes of determining vesting, eligibility and benefit levels for certain employees of the subsidiary and for determining vesting and eligibility for certain other employees of the subsidiary. The measurement date for these plans is December 31.</w:t>
      </w:r>
    </w:p>
    <w:p>
      <w:pPr>
        <w:spacing w:after="0" w:line="13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December 2014, the Company announced a plan amendment to one of the Company's defined benefit pension plans. Under the plan amendment, no additional benefits may be earned by participants after January 31, 2015 and participants' accrued benefits will freeze at the levels earned as of January 31, 2015. In addition, the amendment added a lump sum payment option effective February 1, 2015. The Company made a similar plan amendment to another of its defined benefit pension plans in 2012. In conjunction with both of the defined benefit pension plans' amendments, the Company amended, in 2014 and 2012, its defined contribution savings plan to allow participants impacted by the amendments to participate in the Company's annual retirement contribution program.</w:t>
      </w:r>
    </w:p>
    <w:p>
      <w:pPr>
        <w:spacing w:after="0" w:line="13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connection with the Merger, the Company assumed certain U.S. pension plans and other post-retirement benefit plans covering Axiall employees. The Axiall pension plans are closed to new participants and provide benefits to certain employees and retirees. The other post-retirement benefit plans are unfunded and provide medical and life insurance benefits for certain employees and their dependents.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defined benefit pension plans covering current and former employees associated with our European operations. These pension plans are closed to new participants and are for employees in Germany who commenced employment before July 1, 2007. Benefits for employees for these plans are based primarily on employees' pay near retirement. The non-U.S. plans are unfunded as no contributions have been made to the plans and therefore, have no plan assets. The measurement date for these plans is December 31.</w:t>
      </w:r>
    </w:p>
    <w:p>
      <w:pPr>
        <w:spacing w:after="0" w:line="13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connection with the Merger, the Company assumed certain defined benefit pension plans. These pension plans are for employees outside of the U.S., namely in Canada and Taiwan.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121" w:right="319" w:bottom="1440" w:gutter="0" w:footer="0" w:header="0"/>
        </w:sectPr>
      </w:pPr>
    </w:p>
    <w:bookmarkStart w:id="85" w:name="page86"/>
    <w:bookmarkEnd w:id="8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Details of the changes in benefit obligations, plan assets and funded status of the Company's pension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Non-U.S. Plans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62,192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94,821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67,010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122,701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assumed with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818,602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1,661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(17,310)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799,258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125,152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62,192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94,821</w:t>
            </w:r>
          </w:p>
        </w:tc>
      </w:tr>
      <w:tr>
        <w:trPr>
          <w:trHeight w:val="284"/>
        </w:trPr>
        <w:tc>
          <w:tcPr>
            <w:tcW w:w="5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575,865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2,139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Experience gain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614,269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50,763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5140" w:type="dxa"/>
            <w:vAlign w:val="bottom"/>
          </w:tcPr>
          <w:p>
            <w:pPr>
              <w:ind w:left="40"/>
              <w:spacing w:after="0"/>
              <w:rPr>
                <w:sz w:val="20"/>
                <w:szCs w:val="20"/>
                <w:color w:val="auto"/>
              </w:rPr>
            </w:pPr>
            <w:r>
              <w:rPr>
                <w:rFonts w:ascii="Arial" w:cs="Arial" w:eastAsia="Arial" w:hAnsi="Arial"/>
                <w:sz w:val="18"/>
                <w:szCs w:val="18"/>
                <w:color w:val="auto"/>
              </w:rPr>
              <w:t>Funded status,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(184,989)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consolidated</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 at December 31</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(94,821)</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Non-U.S. Plans</w:t>
            </w:r>
          </w:p>
        </w:tc>
      </w:tr>
      <w:tr>
        <w:trPr>
          <w:trHeight w:val="211"/>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(gain)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(53,302)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(4,919)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w:t>
            </w:r>
          </w:p>
        </w:tc>
      </w:tr>
      <w:tr>
        <w:trPr>
          <w:trHeight w:val="264"/>
        </w:trPr>
        <w:tc>
          <w:tcPr>
            <w:tcW w:w="5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before tax </w:t>
            </w:r>
            <w:r>
              <w:rPr>
                <w:rFonts w:ascii="Arial" w:cs="Arial" w:eastAsia="Arial" w:hAnsi="Arial"/>
                <w:sz w:val="25"/>
                <w:szCs w:val="25"/>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120" w:hanging="412"/>
        <w:spacing w:after="0" w:line="277"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After-tax totals for pension benefits were $30,287 and $6,812 for 2016 and 2015, respectively, and are reflected in stockholders' equity as accumulated other comprehensive loss.</w:t>
      </w:r>
    </w:p>
    <w:p>
      <w:pPr>
        <w:spacing w:after="0" w:line="116" w:lineRule="exact"/>
        <w:rPr>
          <w:sz w:val="20"/>
          <w:szCs w:val="20"/>
          <w:color w:val="auto"/>
        </w:rPr>
      </w:pPr>
    </w:p>
    <w:p>
      <w:pPr>
        <w:ind w:left="60" w:right="140" w:firstLine="432"/>
        <w:spacing w:after="0" w:line="264" w:lineRule="auto"/>
        <w:rPr>
          <w:sz w:val="20"/>
          <w:szCs w:val="20"/>
          <w:color w:val="auto"/>
        </w:rPr>
      </w:pPr>
      <w:r>
        <w:rPr>
          <w:rFonts w:ascii="Arial" w:cs="Arial" w:eastAsia="Arial" w:hAnsi="Arial"/>
          <w:sz w:val="18"/>
          <w:szCs w:val="18"/>
          <w:color w:val="auto"/>
        </w:rPr>
        <w:t>In the United States, the Pension Protection Act of 2006 (the "Pension Protection Act") established a relationship between a qualified pension plan's funded status and the actual benefits that can be provided. Restrictions on plan benefits and additional funding and notice requirements are imposed when a plan's funded status is less than certain threshold levels. For the 2016 plan</w:t>
      </w:r>
    </w:p>
    <w:p>
      <w:pPr>
        <w:sectPr>
          <w:pgSz w:w="11900" w:h="16838" w:orient="portrait"/>
          <w:cols w:equalWidth="0" w:num="1">
            <w:col w:w="11400"/>
          </w:cols>
          <w:pgMar w:left="240" w:top="12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121" w:right="259" w:bottom="1440" w:gutter="0" w:footer="0" w:header="0"/>
          <w:type w:val="continuous"/>
        </w:sectPr>
      </w:pPr>
    </w:p>
    <w:bookmarkStart w:id="86" w:name="page87"/>
    <w:bookmarkEnd w:id="8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year, the funded status for the Company's U.S. pension plans are above 80%, with all plans' funded status above 100%. Accordingly, the Company's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pension plans are exempt from the Pension Protection Act's benefit restrictions.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Pension plans with an accumulated benefit obligation in excess of plan assets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16"/>
                <w:szCs w:val="16"/>
                <w:color w:val="auto"/>
              </w:rPr>
            </w:pPr>
          </w:p>
        </w:tc>
      </w:tr>
      <w:tr>
        <w:trPr>
          <w:trHeight w:val="211"/>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5"/>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benefit obligation in excess of plan assets</w:t>
            </w: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0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Non-U.S. Plans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(94,821)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(109,837)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(93,231)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614,269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50,763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other changes in plan assets and benefit obligation recognized in other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22"/>
                <w:szCs w:val="22"/>
                <w:color w:val="auto"/>
              </w:rPr>
            </w:pPr>
          </w:p>
        </w:tc>
      </w:tr>
      <w:tr>
        <w:trPr>
          <w:trHeight w:val="152"/>
        </w:trPr>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Non-U.S.</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3"/>
                <w:szCs w:val="13"/>
                <w:color w:val="auto"/>
              </w:rPr>
            </w:pPr>
          </w:p>
        </w:tc>
        <w:tc>
          <w:tcPr>
            <w:tcW w:w="8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Non-U.S.</w:t>
            </w:r>
          </w:p>
        </w:tc>
      </w:tr>
      <w:tr>
        <w:trPr>
          <w:trHeight w:val="192"/>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6"/>
                <w:szCs w:val="16"/>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Plans</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602</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1,366</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benefits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periodic benefit (gain) cost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1,968</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2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changes in plan assets and benefit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obligation recognized in other</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comprehensive income (OCI)</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emerging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Settlement benefits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OCI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15,425</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net periodic benefit cost and OCI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17,393</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estimated prior service cost and net loss for the defined benefit plans that will be amortized from accumulated other comprehensive income into net periodic benefit cost during 2017 are expected to be zero and $1,761,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2" w:right="239" w:bottom="1440" w:gutter="0" w:footer="0" w:header="0"/>
        </w:sectPr>
      </w:pPr>
    </w:p>
    <w:bookmarkStart w:id="87" w:name="page88"/>
    <w:bookmarkEnd w:id="8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weighted-average assumptions used to determine pension plan obligations and net periodic benefit costs for the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spacing w:after="0"/>
              <w:rPr>
                <w:sz w:val="16"/>
                <w:szCs w:val="16"/>
                <w:color w:val="auto"/>
              </w:rPr>
            </w:pPr>
          </w:p>
        </w:tc>
      </w:tr>
      <w:tr>
        <w:trPr>
          <w:trHeight w:val="152"/>
        </w:trPr>
        <w:tc>
          <w:tcPr>
            <w:tcW w:w="3940" w:type="dxa"/>
            <w:vAlign w:val="bottom"/>
          </w:tcPr>
          <w:p>
            <w:pPr>
              <w:spacing w:after="0"/>
              <w:rPr>
                <w:sz w:val="13"/>
                <w:szCs w:val="13"/>
                <w:color w:val="auto"/>
              </w:rPr>
            </w:pPr>
          </w:p>
        </w:tc>
        <w:tc>
          <w:tcPr>
            <w:tcW w:w="7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50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Non-U.S.</w:t>
            </w:r>
          </w:p>
        </w:tc>
        <w:tc>
          <w:tcPr>
            <w:tcW w:w="142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U.S.</w:t>
            </w:r>
          </w:p>
        </w:tc>
        <w:tc>
          <w:tcPr>
            <w:tcW w:w="92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Non-U.S.</w:t>
            </w:r>
          </w:p>
        </w:tc>
      </w:tr>
      <w:tr>
        <w:trPr>
          <w:trHeight w:val="192"/>
        </w:trPr>
        <w:tc>
          <w:tcPr>
            <w:tcW w:w="3940" w:type="dxa"/>
            <w:vAlign w:val="bottom"/>
          </w:tcPr>
          <w:p>
            <w:pPr>
              <w:spacing w:after="0"/>
              <w:rPr>
                <w:sz w:val="16"/>
                <w:szCs w:val="16"/>
                <w:color w:val="auto"/>
              </w:rPr>
            </w:pPr>
          </w:p>
        </w:tc>
        <w:tc>
          <w:tcPr>
            <w:tcW w:w="7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Plans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Plans</w:t>
            </w: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Plans</w:t>
            </w:r>
          </w:p>
        </w:tc>
      </w:tr>
      <w:tr>
        <w:trPr>
          <w:trHeight w:val="211"/>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w:t>
            </w: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determine benefit obligations at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1"/>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7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assumptions used to</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determine net periodic benefit costs for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benefit obligations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Discount rate for service cost</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interest cost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9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discount rates for the Company's U.S. and non-U.S. plans are determined using a benchmark pension discount curve and applying spot rates from the curve to each year of expected benefit payments to determine the appropriate discount rate for the Company.</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pension plans' investments are held in the Westlake U.S. Salaried Plan, the Westlake U.S. Union Plan, the Axiall U.S. Salaried Plan and the Axiall Union U.S. Plan. The Company's overall investment strategy for its pension plan assets is to achieve a balance between moderate income generation and capital appreciation. The investment strategy includes a mix of approximately 55% to 65% of investments for long-term growth, and 35% to 45% for near-term benefit payments with a diversification of asset types. These pension funds' investment policies target asset allocations from approximately 55% to 65% equity securities and 35% to 45% fixed income securities in order to pursue a balance between moderate income generation and capital appreciation.</w:t>
      </w:r>
    </w:p>
    <w:p>
      <w:pPr>
        <w:spacing w:after="0" w:line="13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Equity securities primarily include investments in large-cap and small-cap companies located in the United States and international developed and emerging markets stocks. Fixed income securities are comprised of investment and non-investment grade bonds, including U.S. Treasuries and U.S. and non-U.S corporate bonds of companies from diversified industries. Each pension fund investment policy allows a discretionary range in various asset classes within the asset allocation model of up to 10% or 15%. The Company does not believe that there are significant concentrations of risk in the pension plan assets due to its strategy of asset diversification. At December 31, 2016, plan assets did not include direct ownership of the Company's common stock.</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accounting guidance for fair value measurements, inputs used to measure fair value are classified in one of three levels: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2" w:right="239" w:bottom="1440" w:gutter="0" w:footer="0" w:header="0"/>
        </w:sectPr>
      </w:pPr>
    </w:p>
    <w:bookmarkStart w:id="88" w:name="page89"/>
    <w:bookmarkEnd w:id="8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investments in the bank collective trust and mutual funds are valued using a market approach based on the net asset value of units held. The fair values of the Company's U.S. plan assets at December 31, by asset category,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2015</w:t>
            </w:r>
          </w:p>
        </w:tc>
        <w:tc>
          <w:tcPr>
            <w:tcW w:w="7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U.S. Plans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Non U.S. Plans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auto"/>
            </w:tcBorders>
          </w:tcPr>
          <w:p>
            <w:pPr>
              <w:spacing w:after="0"/>
              <w:rPr>
                <w:sz w:val="22"/>
                <w:szCs w:val="22"/>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22"/>
                <w:szCs w:val="22"/>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common stock:</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2420" w:type="dxa"/>
            <w:vAlign w:val="bottom"/>
          </w:tcPr>
          <w:p>
            <w:pPr>
              <w:ind w:left="380"/>
              <w:spacing w:after="0"/>
              <w:rPr>
                <w:sz w:val="20"/>
                <w:szCs w:val="20"/>
                <w:color w:val="auto"/>
              </w:rPr>
            </w:pPr>
            <w:r>
              <w:rPr>
                <w:rFonts w:ascii="Arial" w:cs="Arial" w:eastAsia="Arial" w:hAnsi="Arial"/>
                <w:sz w:val="18"/>
                <w:szCs w:val="18"/>
                <w:color w:val="auto"/>
              </w:rPr>
              <w:t>Cash and cash</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420" w:type="dxa"/>
            <w:vAlign w:val="bottom"/>
          </w:tcPr>
          <w:p>
            <w:pPr>
              <w:ind w:left="520"/>
              <w:spacing w:after="0"/>
              <w:rPr>
                <w:sz w:val="20"/>
                <w:szCs w:val="20"/>
                <w:color w:val="auto"/>
              </w:rPr>
            </w:pPr>
            <w:r>
              <w:rPr>
                <w:rFonts w:ascii="Arial" w:cs="Arial" w:eastAsia="Arial" w:hAnsi="Arial"/>
                <w:sz w:val="18"/>
                <w:szCs w:val="18"/>
                <w:color w:val="auto"/>
              </w:rPr>
              <w:t>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Bank collective trust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mutual funds—Equity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4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Large-cap funds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166,604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18,384</w:t>
            </w:r>
          </w:p>
        </w:tc>
      </w:tr>
      <w:tr>
        <w:trPr>
          <w:trHeight w:val="270"/>
        </w:trPr>
        <w:tc>
          <w:tcPr>
            <w:tcW w:w="24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Small-cap funds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23,407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4,069</w:t>
            </w:r>
          </w:p>
        </w:tc>
      </w:tr>
      <w:tr>
        <w:trPr>
          <w:trHeight w:val="270"/>
        </w:trPr>
        <w:tc>
          <w:tcPr>
            <w:tcW w:w="24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International funds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53,422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8,181</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Bank collective trust funds—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4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Bond funds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61,778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165,657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19,624</w:t>
            </w:r>
          </w:p>
        </w:tc>
      </w:tr>
      <w:tr>
        <w:trPr>
          <w:trHeight w:val="229"/>
        </w:trPr>
        <w:tc>
          <w:tcPr>
            <w:tcW w:w="2420" w:type="dxa"/>
            <w:vAlign w:val="bottom"/>
          </w:tcPr>
          <w:p>
            <w:pPr>
              <w:ind w:left="380"/>
              <w:spacing w:after="0"/>
              <w:rPr>
                <w:sz w:val="20"/>
                <w:szCs w:val="20"/>
                <w:color w:val="auto"/>
              </w:rPr>
            </w:pPr>
            <w:r>
              <w:rPr>
                <w:rFonts w:ascii="Arial" w:cs="Arial" w:eastAsia="Arial" w:hAnsi="Arial"/>
                <w:sz w:val="18"/>
                <w:szCs w:val="18"/>
                <w:color w:val="auto"/>
              </w:rPr>
              <w:t>Short-term investment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420" w:type="dxa"/>
            <w:vAlign w:val="bottom"/>
          </w:tcPr>
          <w:p>
            <w:pPr>
              <w:ind w:left="520"/>
              <w:spacing w:after="0"/>
              <w:rPr>
                <w:sz w:val="20"/>
                <w:szCs w:val="20"/>
                <w:color w:val="auto"/>
              </w:rPr>
            </w:pPr>
            <w:r>
              <w:rPr>
                <w:rFonts w:ascii="Arial" w:cs="Arial" w:eastAsia="Arial" w:hAnsi="Arial"/>
                <w:sz w:val="18"/>
                <w:szCs w:val="18"/>
                <w:color w:val="auto"/>
              </w:rPr>
              <w:t>funds</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505</w:t>
            </w:r>
          </w:p>
        </w:tc>
      </w:tr>
      <w:tr>
        <w:trPr>
          <w:trHeight w:val="27"/>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614,269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50,763</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400" w:hanging="412"/>
        <w:spacing w:after="0" w:line="277"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large-cap U.S. companies. The remainder of the assets of these funds is invested in cash reserves.</w:t>
      </w:r>
    </w:p>
    <w:p>
      <w:pPr>
        <w:spacing w:after="0" w:line="35" w:lineRule="exact"/>
        <w:rPr>
          <w:rFonts w:ascii="Arial" w:cs="Arial" w:eastAsia="Arial" w:hAnsi="Arial"/>
          <w:sz w:val="18"/>
          <w:szCs w:val="18"/>
          <w:color w:val="auto"/>
        </w:rPr>
      </w:pPr>
    </w:p>
    <w:p>
      <w:pPr>
        <w:ind w:left="420" w:right="360" w:hanging="412"/>
        <w:spacing w:after="0" w:line="277"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small-cap U.S. companies. The remainder of the assets of these funds is invested in cash reserves.</w:t>
      </w:r>
    </w:p>
    <w:p>
      <w:pPr>
        <w:spacing w:after="0" w:line="35" w:lineRule="exact"/>
        <w:rPr>
          <w:rFonts w:ascii="Arial" w:cs="Arial" w:eastAsia="Arial" w:hAnsi="Arial"/>
          <w:sz w:val="18"/>
          <w:szCs w:val="18"/>
          <w:color w:val="auto"/>
        </w:rPr>
      </w:pPr>
    </w:p>
    <w:p>
      <w:pPr>
        <w:ind w:left="420" w:right="120" w:hanging="412"/>
        <w:spacing w:after="0" w:line="277"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Substantially all of the assets of these funds are invested in international companies in developed markets (excluding the United States). The remainder of the assets of these funds is invested in cash reserves.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category represents investment grade bonds of U.S. issuers, including U.S. Treasury notes.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Company's funding policy for its U.S. plans is consistent with the minimum funding requirements of federal law and regulations, and based on preliminary estimates, the Company expects to make contributions of approximately $2,254 for the pension plans in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participates in two multi-employer plans, Pensionskasse der Mitarbeiter der Hoechst-Gruppe VVaG and Pensionskasse der Wacker-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Chemie GmbH VVaG, which provide benefits to certain of the Company's employees in Germany. These multi-employer plans are closed to new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benefit obligations are covered up to a certain salary threshold by contributions made by the Company and employees to the plans.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Contributions to the Company's multi-employer plans are expensed as incurred and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6"/>
              </w:rPr>
              <w:t>2014</w:t>
            </w:r>
          </w:p>
        </w:tc>
      </w:tr>
      <w:tr>
        <w:trPr>
          <w:trHeight w:val="152"/>
        </w:trPr>
        <w:tc>
          <w:tcPr>
            <w:tcW w:w="6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180" w:type="dxa"/>
            <w:vAlign w:val="bottom"/>
          </w:tcPr>
          <w:p>
            <w:pPr>
              <w:jc w:val="center"/>
              <w:ind w:right="224"/>
              <w:spacing w:after="0" w:line="153" w:lineRule="exact"/>
              <w:rPr>
                <w:sz w:val="20"/>
                <w:szCs w:val="20"/>
                <w:color w:val="auto"/>
              </w:rPr>
            </w:pPr>
            <w:r>
              <w:rPr>
                <w:rFonts w:ascii="Arial" w:cs="Arial" w:eastAsia="Arial" w:hAnsi="Arial"/>
                <w:sz w:val="14"/>
                <w:szCs w:val="14"/>
                <w:b w:val="1"/>
                <w:bCs w:val="1"/>
                <w:color w:val="auto"/>
                <w:w w:val="94"/>
              </w:rPr>
              <w:t>Non-U.S.</w:t>
            </w:r>
          </w:p>
        </w:tc>
      </w:tr>
      <w:tr>
        <w:trPr>
          <w:trHeight w:val="192"/>
        </w:trPr>
        <w:tc>
          <w:tcPr>
            <w:tcW w:w="6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Plans</w:t>
            </w:r>
          </w:p>
        </w:tc>
      </w:tr>
      <w:tr>
        <w:trPr>
          <w:trHeight w:val="270"/>
        </w:trPr>
        <w:tc>
          <w:tcPr>
            <w:tcW w:w="6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Contributions to multi-employer plans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4,952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2,295</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9" w:name="page90"/>
    <w:bookmarkEnd w:id="8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40" w:hanging="412"/>
        <w:spacing w:after="0" w:line="279" w:lineRule="auto"/>
        <w:tabs>
          <w:tab w:leader="none" w:pos="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plan information for both the Pensionskasse der Mitarbeiter der Hoechst-Gruppe VVaG and Pensionskasse der Wacker-Chemie GmbH VVaG plans is publicly available. The plans provide fixed, monthly retirement payments on the basis of the credits earned by the participating employees. To the extent that the plans are underfunded, future contributions to the plans may increase and may be used to fund retirement benefits for employees related to other employers. The Company does not consider either of its multi-employer plans individually 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the U.S., the Company provides post-retirement healthcare benefits to the employees of two subsidiaries who meet certain minimum age and service requirements. The Company has the right to modify or terminate some of these benefits.</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conjunction with the Axiall acquisition, the Company assumed postretirement plans in the U.S. and Canada which are unfunded and provide medical and life insurance benefits for certain employees and their dependents.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reconciliation of the benefit obligations of the Company's unfunded post-retirement healthcare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Plans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3"/>
              </w:rPr>
              <w:t>U.S. Plans</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17,815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20,177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assumed with acquisition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Curtailment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Foreign exchange effects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79,919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17,815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1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Plans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3"/>
              </w:rPr>
              <w:t>U.S. Plans</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Amounts recognized in the consolidated balance sheet at December 31</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1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vMerge w:val="restart"/>
          </w:tcPr>
          <w:p>
            <w:pPr>
              <w:jc w:val="right"/>
              <w:ind w:right="850"/>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0" w:name="page91"/>
    <w:bookmarkEnd w:id="9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Plans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2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U.S. Plans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income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before tax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77"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After-tax totals for post-retirement healthcare benefits were a loss of $1,342 and a gain of $1,795 for 2016 and 2015, respectively, and are reflected in stockholders' equity as accumulated other comprehensive loss.</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other changes in plan assets and benefit obligation recognized in other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Plans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Non-U.S.</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 Plans</w:t>
            </w:r>
          </w:p>
        </w:tc>
        <w:tc>
          <w:tcPr>
            <w:tcW w:w="280" w:type="dxa"/>
            <w:vAlign w:val="bottom"/>
          </w:tcPr>
          <w:p>
            <w:pPr>
              <w:spacing w:after="0"/>
              <w:rPr>
                <w:sz w:val="13"/>
                <w:szCs w:val="13"/>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U.S. Plans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91"/>
        </w:trPr>
        <w:tc>
          <w:tcPr>
            <w:tcW w:w="5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Other changes in plan assets and benefit obligation recognized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 other comprehensive income (OCI)</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(gain) loss emerging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recognized in OCI</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 and OCI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900" w:firstLine="486"/>
        <w:spacing w:after="0" w:line="308" w:lineRule="auto"/>
        <w:rPr>
          <w:sz w:val="20"/>
          <w:szCs w:val="20"/>
          <w:color w:val="auto"/>
        </w:rPr>
      </w:pPr>
      <w:r>
        <w:rPr>
          <w:rFonts w:ascii="Arial" w:cs="Arial" w:eastAsia="Arial" w:hAnsi="Arial"/>
          <w:sz w:val="17"/>
          <w:szCs w:val="17"/>
          <w:color w:val="auto"/>
        </w:rPr>
        <w:t>The estimated prior service cost and net loss for the post-retirement healthcare benefit plans that will be amortized from accumulated other comprehensive income into net periodic benefit cost during 2017 are expected to be zero and $56,446,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1" w:right="259" w:bottom="1440" w:gutter="0" w:footer="0" w:header="0"/>
        </w:sectPr>
      </w:pPr>
    </w:p>
    <w:bookmarkStart w:id="91" w:name="page92"/>
    <w:bookmarkEnd w:id="9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weighted-average assumptions used to determine post-retirement healthcare plan obligations and net periodic benefit costs for the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10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0"/>
              </w:rPr>
              <w:t>U.S. Plans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Non-U.S.</w:t>
            </w:r>
          </w:p>
        </w:tc>
        <w:tc>
          <w:tcPr>
            <w:tcW w:w="16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 Plans</w:t>
            </w:r>
          </w:p>
        </w:tc>
        <w:tc>
          <w:tcPr>
            <w:tcW w:w="15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U.S. Plans</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Plans</w:t>
            </w:r>
          </w:p>
        </w:tc>
        <w:tc>
          <w:tcPr>
            <w:tcW w:w="16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Weighted average assumptions used to determine benefit</w:t>
            </w: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obligations at December 31</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 care cost trend rate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20"/>
              <w:spacing w:after="0"/>
              <w:rPr>
                <w:sz w:val="20"/>
                <w:szCs w:val="20"/>
                <w:color w:val="auto"/>
              </w:rPr>
            </w:pPr>
            <w:r>
              <w:rPr>
                <w:rFonts w:ascii="Arial" w:cs="Arial" w:eastAsia="Arial" w:hAnsi="Arial"/>
                <w:sz w:val="18"/>
                <w:szCs w:val="18"/>
                <w:color w:val="auto"/>
              </w:rPr>
              <w:t>- Initial rate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Ultimate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20"/>
              <w:spacing w:after="0"/>
              <w:rPr>
                <w:sz w:val="20"/>
                <w:szCs w:val="20"/>
                <w:color w:val="auto"/>
              </w:rPr>
            </w:pPr>
            <w:r>
              <w:rPr>
                <w:rFonts w:ascii="Arial" w:cs="Arial" w:eastAsia="Arial" w:hAnsi="Arial"/>
                <w:sz w:val="18"/>
                <w:szCs w:val="18"/>
                <w:color w:val="auto"/>
              </w:rPr>
              <w:t>- Years to ultimate</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benefit costs for years ended December 31</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Discount rate for benefit obligations</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service cost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Discount rate for interest cost</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 care cost trend rate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20"/>
              <w:spacing w:after="0"/>
              <w:rPr>
                <w:sz w:val="20"/>
                <w:szCs w:val="20"/>
                <w:color w:val="auto"/>
              </w:rPr>
            </w:pPr>
            <w:r>
              <w:rPr>
                <w:rFonts w:ascii="Arial" w:cs="Arial" w:eastAsia="Arial" w:hAnsi="Arial"/>
                <w:sz w:val="18"/>
                <w:szCs w:val="18"/>
                <w:color w:val="auto"/>
              </w:rPr>
              <w:t>- Initial rate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Ultimate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20"/>
              <w:spacing w:after="0"/>
              <w:rPr>
                <w:sz w:val="20"/>
                <w:szCs w:val="20"/>
                <w:color w:val="auto"/>
              </w:rPr>
            </w:pPr>
            <w:r>
              <w:rPr>
                <w:rFonts w:ascii="Arial" w:cs="Arial" w:eastAsia="Arial" w:hAnsi="Arial"/>
                <w:sz w:val="18"/>
                <w:szCs w:val="18"/>
                <w:color w:val="auto"/>
              </w:rPr>
              <w:t>- Years to ultimate</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discount rate is determined using a benchmark pension discount curve and applying spot rates from the curve to each year of expected benefit payments to determine the appropriate discount rate for the Company. A one percentage-point increase or decrease in assumed healthcare trend rates would not have a significant effect on the amounts reported for the healthcare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Future Benefit Payments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are expected to be paid: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Pension</w:t>
            </w:r>
          </w:p>
        </w:tc>
        <w:tc>
          <w:tcPr>
            <w:tcW w:w="260" w:type="dxa"/>
            <w:vAlign w:val="bottom"/>
          </w:tcPr>
          <w:p>
            <w:pPr>
              <w:spacing w:after="0"/>
              <w:rPr>
                <w:sz w:val="14"/>
                <w:szCs w:val="14"/>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Post-</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retirement</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51,324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3</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51,163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5</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51,715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 6 to 10</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267,024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34,681</w:t>
            </w: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Under the Westlake Chemical Corporation 2013 Omnibus Incentive Plan (as amended and restated, the "2013 Plan"), all employees and non-employee directors of the Company, as well as certain individuals who have agreed to become the Company's employees, are eligible for awards. Shares of common stock may be issued as authorized in the 2013 Plan. At the discretion of the administrator of the 2013 Plan, employees and non-employee directors may be granted awards in the form of stock options, stock appreciation rights, stock awards, restricted stock units or cash awards (any of which may be a performance award). Outstanding stock option awards have a 10-year term and vest either (1) ratably on an annual basis over a one to four-year period or (2) at the end of a five to 9.5-year period. Current outstanding restricted stock awards vest on the 9.5-year anniversary of the award date. Outstanding restricted stock units vest either (1) ratably on an annual basis over a three-year period or (2) at the end of a one to six-year period. In accordance with accounting guidance related to share-based payments,</w:t>
      </w:r>
    </w:p>
    <w:p>
      <w:pPr>
        <w:sectPr>
          <w:pgSz w:w="11900" w:h="16838" w:orient="portrait"/>
          <w:cols w:equalWidth="0" w:num="1">
            <w:col w:w="11420"/>
          </w:cols>
          <w:pgMar w:left="240" w:top="122"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2" w:right="239" w:bottom="1440" w:gutter="0" w:footer="0" w:header="0"/>
          <w:type w:val="continuous"/>
        </w:sectPr>
      </w:pPr>
    </w:p>
    <w:bookmarkStart w:id="92" w:name="page93"/>
    <w:bookmarkEnd w:id="9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stock-based compensation expense for all stock-based compensation awards is based on estimated grant-date fair value. The Company recognizes these stock-based compensation costs net of a forfeiture rate and on a straight-line basis over the requisite service period of the award for only those shares expected to vest. For the years ended December 31, 2016, 2015 and 2014, the total recognized stock-based compensation expense related to the 2013 Plan was $14,193, $10,196 and $9,261, 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 activity and changes during the year ended December 31,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4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2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24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1,267,790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292,448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(42,893)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1,404,734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34,368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Exercisable at December 31, 2016</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940,314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31,009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8320" w:type="dxa"/>
            <w:vAlign w:val="bottom"/>
            <w:gridSpan w:val="7"/>
          </w:tcPr>
          <w:p>
            <w:pPr>
              <w:ind w:left="400"/>
              <w:spacing w:after="0"/>
              <w:rPr>
                <w:sz w:val="20"/>
                <w:szCs w:val="20"/>
                <w:color w:val="auto"/>
              </w:rPr>
            </w:pPr>
            <w:r>
              <w:rPr>
                <w:rFonts w:ascii="Arial" w:cs="Arial" w:eastAsia="Arial" w:hAnsi="Arial"/>
                <w:sz w:val="18"/>
                <w:szCs w:val="18"/>
                <w:color w:val="auto"/>
                <w:w w:val="97"/>
              </w:rPr>
              <w:t>For options outstanding at December 31, 2016, the options had the following range of exercise prices: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12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Range of Prices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3"/>
                <w:szCs w:val="13"/>
                <w:color w:val="auto"/>
              </w:rPr>
            </w:pPr>
          </w:p>
        </w:tc>
        <w:tc>
          <w:tcPr>
            <w:tcW w:w="124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$7.12 - $9.65</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304,200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$10.26 - $18.05</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235,916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$22.92 - $30.05</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$40.38 - $52.35</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391,083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$63.98 - $68.18</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299,453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the last trading day of the year and the exercise price, multiplied by the number of in-the-money options) that would have been received by the option holders had all option holders exercised their options on December 31, 2016. This amount changes based on the fair market value of the Company's common stock. For the years ended December 31, 2016, 2015 and 2014, the total intrinsic value of options exercised was $3,630, $1,145 and $14,534, respectively.</w:t>
      </w:r>
    </w:p>
    <w:p>
      <w:pPr>
        <w:spacing w:after="0" w:line="100"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As of December 31, 2016, $3,708 of total unrecognized compensation cost related to stock options is expected to be recognized over a weighted-average period of 1.5 years. Income tax benefits of $1,090, $78 and $4,512 were realized from the exercise of stock options during the years ended December 31, 2016, 2015 and 2014, respectively.</w:t>
      </w:r>
    </w:p>
    <w:p>
      <w:pPr>
        <w:spacing w:after="0" w:line="12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Company used the Black-Scholes option pricing model to value its options. The table below presents the weighted average value and assumptions used in determining each option's fair value. Volatility was calculated using historical trends of the Company's common stock price.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Stock Option Grants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50"/>
        </w:trPr>
        <w:tc>
          <w:tcPr>
            <w:tcW w:w="3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w:t>
            </w:r>
          </w:p>
        </w:tc>
        <w:tc>
          <w:tcPr>
            <w:tcW w:w="368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11.67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2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3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459"/>
        </w:trPr>
        <w:tc>
          <w:tcPr>
            <w:tcW w:w="3840" w:type="dxa"/>
            <w:vAlign w:val="bottom"/>
          </w:tcPr>
          <w:p>
            <w:pPr>
              <w:spacing w:after="0"/>
              <w:rPr>
                <w:sz w:val="24"/>
                <w:szCs w:val="24"/>
                <w:color w:val="auto"/>
              </w:rPr>
            </w:pPr>
          </w:p>
        </w:tc>
        <w:tc>
          <w:tcPr>
            <w:tcW w:w="2740" w:type="dxa"/>
            <w:vAlign w:val="bottom"/>
          </w:tcPr>
          <w:p>
            <w:pPr>
              <w:jc w:val="right"/>
              <w:ind w:right="690"/>
              <w:spacing w:after="0"/>
              <w:rPr>
                <w:sz w:val="20"/>
                <w:szCs w:val="20"/>
                <w:color w:val="auto"/>
              </w:rPr>
            </w:pPr>
            <w:r>
              <w:rPr>
                <w:rFonts w:ascii="Arial" w:cs="Arial" w:eastAsia="Arial" w:hAnsi="Arial"/>
                <w:sz w:val="18"/>
                <w:szCs w:val="18"/>
                <w:color w:val="auto"/>
              </w:rPr>
              <w:t>87</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restricted stock awards as of December 31, 2016 and changes during the year ended December 31,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28,142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As of December 31, 2016, there was no unrecognized stock-based compensation expense related to non-vested restricted stock awards. The total fair value of shares of restricted stock that vested during the years ended December 31, 2016, 2015 and 2014 was $4,260, $8,363 and $8,831, respectively.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restricted stock unit as of December 31, 2016 and changes during the year ended December 31,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498,872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204,642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(17,078)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597,559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December 31, 2016, there was $16,110 of unrecognized stock-based compensation expense related to non-vested restricted stock units. This cost is expected to be recognized over a weighted-average period of 2.2 years. The total fair value of restricted stock units that vested during the years ended December 31, 2016, 2015 and 2014 was $4,031, $725 and $371,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Axiall Awards Assumed in the Merger</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Under the Merger Agreement, all outstanding Axiall restricted stock units were assumed by the Company and converted into restricted stock units in respect of the Company's common stock, with the same terms and conditions except that upon settlement the award holders will receive the greater of (1) the value of $33.00 per Axiall restricted stock unit that was converted into a restricted stock unit in respect of the Company's common stock and (2) the value of the Company's common stock. The awards are classified as liability awards for accounting purposes and are re-measured at each reporting date until they vest. The portion of the replacement award that is attributable to pre-combination service by the employee is included in the measure of consideration transferred to acquire Axiall. The remaining fair value of the replacement awards will be recognized as stock-based compensation expense over the remaining vesting period. Total stock-based compensation expense recognized related to Axiall restricted stock units that were assumed by the Company and converted into restricted stock units during the year ended December 31, 2016 was $38,031, of which $32,644 is included in transaction and integration-related costs in the consolidated statement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4" w:name="page95"/>
    <w:bookmarkEnd w:id="9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estimates the fair value of these awards using the Company's common stock price and a pricing model to estimate the value attributable to the $33.00 minimum price per Axiall restricted stock unit converted into a restricted stock unit in respect of the Company's common stock. The table below presents the assumptions used in determining each liability classified restricted stock unit's fair value. Volatility was calculated using historical trends of the Company's common stock price.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1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Liability Classified Restricted Stock Awards</w:t>
            </w:r>
          </w:p>
        </w:tc>
      </w:tr>
      <w:tr>
        <w:trPr>
          <w:trHeight w:val="250"/>
        </w:trPr>
        <w:tc>
          <w:tcPr>
            <w:tcW w:w="8280" w:type="dxa"/>
            <w:vAlign w:val="bottom"/>
            <w:tcBorders>
              <w:bottom w:val="single" w:sz="8" w:color="CCEEFF"/>
            </w:tcBorders>
          </w:tcPr>
          <w:p>
            <w:pPr>
              <w:spacing w:after="0"/>
              <w:rPr>
                <w:sz w:val="21"/>
                <w:szCs w:val="21"/>
                <w:color w:val="auto"/>
              </w:rPr>
            </w:pPr>
          </w:p>
        </w:tc>
        <w:tc>
          <w:tcPr>
            <w:tcW w:w="3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 Ended December 31, 2016</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vesting period in years</w:t>
            </w:r>
          </w:p>
        </w:tc>
        <w:tc>
          <w:tcPr>
            <w:tcW w:w="3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1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2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Non-vested liability classified restricted stock awards as of December 31, 2016 and changes during the year ended December 31, 2016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32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Weighted Average</w:t>
            </w:r>
          </w:p>
        </w:tc>
      </w:tr>
      <w:tr>
        <w:trPr>
          <w:trHeight w:val="186"/>
        </w:trPr>
        <w:tc>
          <w:tcPr>
            <w:tcW w:w="83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1320" w:type="dxa"/>
            <w:vAlign w:val="bottom"/>
          </w:tcPr>
          <w:p>
            <w:pPr>
              <w:jc w:val="right"/>
              <w:ind w:right="317"/>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8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August 31, 2016</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51.82</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(54,266)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52.88</w:t>
            </w:r>
          </w:p>
        </w:tc>
      </w:tr>
      <w:tr>
        <w:trPr>
          <w:trHeight w:val="27"/>
        </w:trPr>
        <w:tc>
          <w:tcPr>
            <w:tcW w:w="8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2016</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286,147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60.77</w:t>
            </w:r>
          </w:p>
        </w:tc>
      </w:tr>
      <w:tr>
        <w:trPr>
          <w:trHeight w:val="20"/>
        </w:trPr>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As of December 31, 2016, there was $11,707 of unrecognized stock-based compensation expense related to non-vested liability classified restricted stock awards. This cost is expected to be recognized over a weighted-average period of 1.2 years. The total fair value of liability classified restricted stock awards that vested during the year ended December 31, 2016 was $2,870.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Awards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wholly-owned subsidiary and the general partner of Westlake Partners, Westlake Chemical Partners GP LLC ("WLKPGP"), maintains a unit-based compensation plan for directors and employees of WLKPGP and Westlake Partners.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Westlake Partners 2014 Long-term Incentive Plan ("Westlake Partners 2014 Plan") permits various types of equity awards including but not limited to grants of phantom units and restricted units. Awards granted under the Westlake Partners 2014 Plan may be settled with Westlake Partners units or in cash or a combination thereof. Compensation expense for these awards was not material to our consolidated financial statements for the years ended December 31, 2016, 2015 and 2014.</w:t>
      </w:r>
    </w:p>
    <w:p>
      <w:pPr>
        <w:spacing w:after="0" w:line="210" w:lineRule="exact"/>
        <w:rPr>
          <w:sz w:val="20"/>
          <w:szCs w:val="20"/>
          <w:color w:val="auto"/>
        </w:rPr>
      </w:pPr>
    </w:p>
    <w:p>
      <w:pPr>
        <w:ind w:right="8400" w:firstLine="8"/>
        <w:spacing w:after="0" w:line="390" w:lineRule="auto"/>
        <w:tabs>
          <w:tab w:leader="none" w:pos="27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Commodity Instruments </w:t>
      </w:r>
      <w:r>
        <w:rPr>
          <w:rFonts w:ascii="Arial" w:cs="Arial" w:eastAsia="Arial" w:hAnsi="Arial"/>
          <w:sz w:val="16"/>
          <w:szCs w:val="16"/>
          <w:b w:val="1"/>
          <w:bCs w:val="1"/>
          <w:i w:val="1"/>
          <w:iCs w:val="1"/>
          <w:color w:val="auto"/>
        </w:rPr>
        <w:t>Commodity Risk Management</w:t>
      </w:r>
    </w:p>
    <w:p>
      <w:pPr>
        <w:ind w:right="500" w:firstLine="432"/>
        <w:spacing w:after="0" w:line="277" w:lineRule="auto"/>
        <w:rPr>
          <w:sz w:val="20"/>
          <w:szCs w:val="20"/>
          <w:color w:val="auto"/>
        </w:rPr>
      </w:pPr>
      <w:r>
        <w:rPr>
          <w:rFonts w:ascii="Arial" w:cs="Arial" w:eastAsia="Arial" w:hAnsi="Arial"/>
          <w:sz w:val="18"/>
          <w:szCs w:val="18"/>
          <w:color w:val="auto"/>
        </w:rPr>
        <w:t>The Company uses derivative instruments to reduce price volatility risk on commodities, primarily natural gas and ethane, from time to time. The Company does not use derivative instruments to engage in speculative activities.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had no derivative instruments that were designated as fair value hedges during the years ended December 31, 2016, 2015 and 2014.</w:t>
      </w:r>
    </w:p>
    <w:p>
      <w:pPr>
        <w:spacing w:after="0" w:line="1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Gains and losses from changes in the fair value of derivative instruments that are not designated as hedging instruments were included in cost of sales in the consolidated statements of operations for the years ended December 31, 2016, 2015 and 2014.</w:t>
      </w:r>
    </w:p>
    <w:p>
      <w:pPr>
        <w:spacing w:after="0" w:line="116"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exposure on commodity derivatives used for price risk management includes the risk that the counterparty will not pay if the market declines below the established fixed price. In such case, the Company would lose the benefit of the derivative differential on the volume of the commodities covered. In any event, the Company would continue to receive the market price on the actual volume hedged. The Company also bears the risk that it could lose the benefit of market improvements over the fixed derivative price for the term and volume of the derivative instruments (as such improvements would accrue to the benefit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2" w:right="239" w:bottom="1440" w:gutter="0" w:footer="0" w:header="0"/>
        </w:sectPr>
      </w:pPr>
    </w:p>
    <w:bookmarkStart w:id="95" w:name="page96"/>
    <w:bookmarkEnd w:id="9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counterparty). The Company had non-hedge designated feedstock forward contracts for approximately 257,000,000 gallons and 8,500,000 MMBtu as of December 31, 2016 and for approximately 171,000,000 gallons and 8,000,000 MMBtu as of December 31, 2015.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derivative instruments in the Company's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0"/>
              </w:rPr>
              <w:t>Asset Derivatives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5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w w:val="94"/>
              </w:rPr>
              <w:t>Fair Value as of December 31,</w:t>
            </w:r>
          </w:p>
        </w:tc>
      </w:tr>
      <w:tr>
        <w:trPr>
          <w:trHeight w:val="264"/>
        </w:trPr>
        <w:tc>
          <w:tcPr>
            <w:tcW w:w="526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 designated as hedging instruments</w:t>
            </w:r>
          </w:p>
        </w:tc>
        <w:tc>
          <w:tcPr>
            <w:tcW w:w="2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3,465</w:t>
            </w:r>
          </w:p>
        </w:tc>
      </w:tr>
      <w:tr>
        <w:trPr>
          <w:trHeight w:val="27"/>
        </w:trPr>
        <w:tc>
          <w:tcPr>
            <w:tcW w:w="5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26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2,088</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asset derivatives</w:t>
            </w:r>
          </w:p>
        </w:tc>
        <w:tc>
          <w:tcPr>
            <w:tcW w:w="21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14,986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5,553</w:t>
            </w: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8"/>
        </w:trPr>
        <w:tc>
          <w:tcPr>
            <w:tcW w:w="526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5"/>
              </w:rPr>
              <w:t>Liability Derivatives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0"/>
        </w:trPr>
        <w:tc>
          <w:tcPr>
            <w:tcW w:w="5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w w:val="94"/>
              </w:rPr>
              <w:t>Fair Value as of December 31,</w:t>
            </w:r>
          </w:p>
        </w:tc>
      </w:tr>
      <w:tr>
        <w:trPr>
          <w:trHeight w:val="264"/>
        </w:trPr>
        <w:tc>
          <w:tcPr>
            <w:tcW w:w="526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 designated as hedging instruments</w:t>
            </w:r>
          </w:p>
        </w:tc>
        <w:tc>
          <w:tcPr>
            <w:tcW w:w="2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9,325</w:t>
            </w:r>
          </w:p>
        </w:tc>
      </w:tr>
      <w:tr>
        <w:trPr>
          <w:trHeight w:val="27"/>
        </w:trPr>
        <w:tc>
          <w:tcPr>
            <w:tcW w:w="5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12,437</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liability derivatives</w:t>
            </w:r>
          </w:p>
        </w:tc>
        <w:tc>
          <w:tcPr>
            <w:tcW w:w="21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21,762</w:t>
            </w: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impact of derivative instruments that have not been designated as hedges on the Company's consolidated statements of operations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780" w:type="dxa"/>
            <w:vAlign w:val="bottom"/>
            <w:gridSpan w:val="2"/>
            <w:vMerge w:val="continue"/>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Recognized in Income on Derivative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19,696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16 for the fair value of the Company's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9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The following tables summarize, by level within the fair value hierarchy, the Company's assets and liabilities at December 31 that were accounted for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22"/>
                <w:szCs w:val="22"/>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Risk management assets—Commodity forward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14,986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management liabilities—Commodity forward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r>
      <w:tr>
        <w:trPr>
          <w:trHeight w:val="561"/>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3"/>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22"/>
                <w:szCs w:val="22"/>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management assets—Commodity forward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Risk management liabilities—Commodity forward contracts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(21,762)</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48,081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520,144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568,225</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21" w:right="259" w:bottom="1440" w:gutter="0" w:footer="0" w:header="0"/>
          <w:type w:val="continuous"/>
        </w:sectPr>
      </w:pPr>
    </w:p>
    <w:bookmarkStart w:id="96" w:name="page97"/>
    <w:bookmarkEnd w:id="9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Level 2 measurements for the Company's commodity contracts are derived using forward curves supplied by industry recognized and unrelated third-party services. The Level 2 measurements for the Company's available-for-sale securities are derived using market-based pricing provided by unrelated third-party services.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in and out of Levels 1 and 2 of the fair value hierarchy in 2016 and 2015.</w:t>
      </w:r>
    </w:p>
    <w:p>
      <w:pPr>
        <w:spacing w:after="0" w:line="17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to the assets and liabilities above, the Company has other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Company's long-term debt at December 31, 2016 and 2015 are summarized in the table below.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4"/>
              </w:rPr>
              <w:t>2016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120" w:type="dxa"/>
            <w:vAlign w:val="bottom"/>
          </w:tcPr>
          <w:p>
            <w:pPr>
              <w:spacing w:after="0"/>
              <w:rPr>
                <w:sz w:val="18"/>
                <w:szCs w:val="18"/>
                <w:color w:val="auto"/>
              </w:rPr>
            </w:pPr>
          </w:p>
        </w:tc>
      </w:tr>
      <w:tr>
        <w:trPr>
          <w:trHeight w:val="33"/>
        </w:trPr>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6"/>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272"/>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640" w:type="dxa"/>
            <w:vAlign w:val="bottom"/>
            <w:gridSpan w:val="3"/>
          </w:tcPr>
          <w:p>
            <w:pPr>
              <w:jc w:val="right"/>
              <w:ind w:right="920"/>
              <w:spacing w:after="0" w:line="147" w:lineRule="exact"/>
              <w:rPr>
                <w:sz w:val="20"/>
                <w:szCs w:val="20"/>
                <w:color w:val="auto"/>
              </w:rPr>
            </w:pPr>
            <w:r>
              <w:rPr>
                <w:rFonts w:ascii="Arial" w:cs="Arial" w:eastAsia="Arial" w:hAnsi="Arial"/>
                <w:sz w:val="14"/>
                <w:szCs w:val="14"/>
                <w:b w:val="1"/>
                <w:bCs w:val="1"/>
                <w:color w:val="auto"/>
              </w:rPr>
              <w:t>Carrying</w:t>
            </w:r>
          </w:p>
        </w:tc>
        <w:tc>
          <w:tcPr>
            <w:tcW w:w="1120" w:type="dxa"/>
            <w:vAlign w:val="bottom"/>
          </w:tcPr>
          <w:p>
            <w:pPr>
              <w:jc w:val="right"/>
              <w:ind w:right="512"/>
              <w:spacing w:after="0" w:line="147" w:lineRule="exact"/>
              <w:rPr>
                <w:sz w:val="20"/>
                <w:szCs w:val="20"/>
                <w:color w:val="auto"/>
              </w:rPr>
            </w:pPr>
            <w:r>
              <w:rPr>
                <w:rFonts w:ascii="Arial" w:cs="Arial" w:eastAsia="Arial" w:hAnsi="Arial"/>
                <w:sz w:val="14"/>
                <w:szCs w:val="14"/>
                <w:b w:val="1"/>
                <w:bCs w:val="1"/>
                <w:color w:val="auto"/>
              </w:rPr>
              <w:t>Fair</w:t>
            </w:r>
          </w:p>
        </w:tc>
      </w:tr>
      <w:tr>
        <w:trPr>
          <w:trHeight w:val="192"/>
        </w:trPr>
        <w:tc>
          <w:tcPr>
            <w:tcW w:w="1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4.625%</w:t>
            </w:r>
          </w:p>
        </w:tc>
        <w:tc>
          <w:tcPr>
            <w:tcW w:w="4540" w:type="dxa"/>
            <w:vAlign w:val="bottom"/>
          </w:tcPr>
          <w:p>
            <w:pPr>
              <w:ind w:left="20"/>
              <w:spacing w:after="0"/>
              <w:rPr>
                <w:sz w:val="20"/>
                <w:szCs w:val="20"/>
                <w:color w:val="auto"/>
              </w:rPr>
            </w:pPr>
            <w:r>
              <w:rPr>
                <w:rFonts w:ascii="Arial" w:cs="Arial" w:eastAsia="Arial" w:hAnsi="Arial"/>
                <w:sz w:val="18"/>
                <w:szCs w:val="18"/>
                <w:color w:val="auto"/>
              </w:rPr>
              <w:t>Westlake Senior Notes 2021</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651,630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650,847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0" w:type="dxa"/>
            <w:vAlign w:val="bottom"/>
            <w:gridSpan w:val="2"/>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Subsidiary Senior Notes 2021</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3.60% senior notes due 2022</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251,725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247,768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244,828</w:t>
            </w:r>
          </w:p>
        </w:tc>
      </w:tr>
      <w:tr>
        <w:trPr>
          <w:trHeight w:val="27"/>
        </w:trPr>
        <w:tc>
          <w:tcPr>
            <w:tcW w:w="620" w:type="dxa"/>
            <w:vAlign w:val="bottom"/>
            <w:gridSpan w:val="2"/>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4.875%</w:t>
            </w: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Westlake Senior 2023 Notes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4.875%</w:t>
            </w:r>
          </w:p>
        </w:tc>
        <w:tc>
          <w:tcPr>
            <w:tcW w:w="4540" w:type="dxa"/>
            <w:vAlign w:val="bottom"/>
          </w:tcPr>
          <w:p>
            <w:pPr>
              <w:ind w:left="20"/>
              <w:spacing w:after="0"/>
              <w:rPr>
                <w:sz w:val="20"/>
                <w:szCs w:val="20"/>
                <w:color w:val="auto"/>
              </w:rPr>
            </w:pPr>
            <w:r>
              <w:rPr>
                <w:rFonts w:ascii="Arial" w:cs="Arial" w:eastAsia="Arial" w:hAnsi="Arial"/>
                <w:sz w:val="18"/>
                <w:szCs w:val="18"/>
                <w:color w:val="auto"/>
              </w:rPr>
              <w:t>Subsidiary 2023 Senior Notes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3.60% 2026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Loan related to tax-exempt waste disposal revenue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bonds due 2027</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10,889</w:t>
            </w:r>
          </w:p>
        </w:tc>
      </w:tr>
      <w:tr>
        <w:trPr>
          <w:trHeight w:val="27"/>
        </w:trPr>
        <w:tc>
          <w:tcPr>
            <w:tcW w:w="14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½% senior notes due 2029</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117,153</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6</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¾% senior notes due 2032</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258,818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247,998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268,490</w:t>
            </w:r>
          </w:p>
        </w:tc>
      </w:tr>
      <w:tr>
        <w:trPr>
          <w:trHeight w:val="27"/>
        </w:trPr>
        <w:tc>
          <w:tcPr>
            <w:tcW w:w="14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6</w:t>
            </w: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½% 2035 GO Zone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106,491</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6</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½% 2035 IKE Zone Senior Notes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64,366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76,741</w:t>
            </w:r>
          </w:p>
        </w:tc>
      </w:tr>
      <w:tr>
        <w:trPr>
          <w:trHeight w:val="27"/>
        </w:trPr>
        <w:tc>
          <w:tcPr>
            <w:tcW w:w="516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5.0% 2046 Senior Notes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691,712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elected to early adopt an accounting standards update requiring the noncurrent classification of all deferred tax assets and liabilities, along with any related valuation allowance, effective January 1, 2016. As a result, the Company's deferred tax assets and liabilities have been classified, by jurisdiction, as a net noncurrent deferred tax asset or liability on the consolidated balance sheet. Consistent with the prospective application of this accounting standard, prior period comparative information was not adjusted.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3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476,423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1,102,101</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Foreign</w:t>
            </w:r>
          </w:p>
        </w:tc>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558,379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963,441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1,083,918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91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provision for (benefit from) income taxes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Federal</w:t>
            </w:r>
          </w:p>
        </w:tc>
        <w:tc>
          <w:tcPr>
            <w:tcW w:w="1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8,156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225,617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300,610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37,351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Foreign</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339,935</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1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40,950</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State</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22,714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39,784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58,967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138,520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298,396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398,902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gridSpan w:val="4"/>
          </w:tcPr>
          <w:p>
            <w:pPr>
              <w:jc w:val="right"/>
              <w:spacing w:after="0"/>
              <w:rPr>
                <w:sz w:val="20"/>
                <w:szCs w:val="20"/>
                <w:color w:val="auto"/>
              </w:rPr>
            </w:pPr>
            <w:r>
              <w:rPr>
                <w:rFonts w:ascii="Arial" w:cs="Arial" w:eastAsia="Arial" w:hAnsi="Arial"/>
                <w:sz w:val="18"/>
                <w:szCs w:val="18"/>
                <w:color w:val="auto"/>
                <w:w w:val="95"/>
              </w:rPr>
              <w:t>A reconciliation of taxes computed at the statutory rate to the Company's income tax expense is as follows: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195,432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379,371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 effect</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40,012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rate differential</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Contingent tax liability</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Arial" w:cs="Arial" w:eastAsia="Arial" w:hAnsi="Arial"/>
                <w:sz w:val="18"/>
                <w:szCs w:val="18"/>
                <w:color w:val="auto"/>
              </w:rPr>
              <w:t>Tax on previously held shares of Axiall Corporation and certain</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other acquisition related items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state apportionment and other state adjustments</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Arial" w:cs="Arial" w:eastAsia="Arial" w:hAnsi="Arial"/>
                <w:sz w:val="18"/>
                <w:szCs w:val="18"/>
                <w:color w:val="auto"/>
                <w:w w:val="91"/>
              </w:rPr>
              <w:t>Research and development expenditures and adjustments related to prior</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years' tax returns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138,520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298,396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398,902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vMerge w:val="restart"/>
          </w:tcPr>
          <w:p>
            <w:pPr>
              <w:jc w:val="right"/>
              <w:ind w:right="850"/>
              <w:spacing w:after="0"/>
              <w:rPr>
                <w:sz w:val="20"/>
                <w:szCs w:val="20"/>
                <w:color w:val="auto"/>
              </w:rPr>
            </w:pPr>
            <w:r>
              <w:rPr>
                <w:rFonts w:ascii="Arial" w:cs="Arial" w:eastAsia="Arial" w:hAnsi="Arial"/>
                <w:sz w:val="18"/>
                <w:szCs w:val="18"/>
                <w:color w:val="auto"/>
              </w:rPr>
              <w:t>92</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8" w:name="page99"/>
    <w:bookmarkEnd w:id="9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Credit carryforward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Pension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113,644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4,393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8,663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Deferred taxes assets—total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335,980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101,656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(408,374)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Turnaround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Basis difference—consolidated partnerships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(200,627)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(625,475)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(16,345)</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(1,638,049)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(540,164)</w:t>
            </w:r>
          </w:p>
        </w:tc>
      </w:tr>
      <w:tr>
        <w:trPr>
          <w:trHeight w:val="284"/>
        </w:trPr>
        <w:tc>
          <w:tcPr>
            <w:tcW w:w="8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35,439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deferred tax asset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(1,650,575)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(575,603)</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(540,164)</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At December 31, 2016, the Company had foreign and state net operating loss carryforwards of approximately $564,896, which will expire in varying amounts between 2017 and 2036 and are subject to certain limitations on an annual basis. Management believes the Company will realize the benefit of a portion of the net operating loss carryforwards before they expire, but to the extent that the full benefit may not be realized, a valuation allowance has been recorded. The valuation allowance increased by $36,661 in 2016 as a result of the Axiall Corporation acquisition and due to the creation of additional state and foreign net operating loss carryforwards.</w:t>
      </w:r>
    </w:p>
    <w:p>
      <w:pPr>
        <w:spacing w:after="0" w:line="134"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For the year ended December 31, 2016, the Company is not permanently reinvested with respect to the outside basis difference for all of its foreign subsidiaries. The Company is asserting under ASC 740-30 that the unremitted earnings of some of its foreign subsidiaries are permanently reinvested outside the U.S. For these foreign subsidiaries, the earnings and profits (E&amp;P) is estimated to be $209,791 at December 31, 2016. If no assertion were made to permanently reinvest any of these unremitted foreign earnings, U.S. income tax expense of approximately $32,319 relating to U.S. tax would be recorded. Such expense takes into account utilization of foreign tax credits. The Company is not asserting under ASC 740-30 for certain other foreign subsidiaries. As such, the Company recorded a deferred tax liability (and related tax expense) of $2,218. Of this amount, $1,448 has been recorded to recognize the foreign taxes that would result if earnings in lower-tier foreign subsidiaries would be distributed up the foreign ownership chain to a subsidiary where an assertion is made, and $770 is attributable to the U.S. tax related to the distribution from the Taiwanese subsidiary which is expected to be made to the Company annually.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1" w:right="259" w:bottom="1440" w:gutter="0" w:footer="0" w:header="0"/>
        </w:sectPr>
      </w:pPr>
    </w:p>
    <w:bookmarkStart w:id="99" w:name="page100"/>
    <w:bookmarkEnd w:id="9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A reconciliation of unrecognized tax benefits for the year ended December 31, 2016 is set forth in the table below:</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January 1,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Amounts attributable to Axiall pre-acquisition</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5,030</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during the year ended December 31, 2016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Reductions due to statutes of limitations expiring</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exchange rates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Ending balance at December 31, 2016</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7,188</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There were unrecognized tax benefits of $7,188 and $0 as of December 31, 2016 and 2015, respectively. The Company recognizes penalties and interest accrued related to unrecognized tax benefits in income tax expense. If recognized, $4,571 of the unrecognized tax benefits would lower the effective tax rate. The majority of the total unrecognized tax benefits relate to historical balances reported by Axiall prior to the Merger. As of December 31, 2016 and 2015, our tax liability for interest and penalties was $328 and $0, respectively. For the year ended December 31, 2016, the Company accrued interest and penalties in the amount of $253 related to uncertain tax positions.</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It is reasonably possible that our existing liabilities for unrecognized tax benefits may increase or decrease within the next twelve months primarily due to open audits and the expiration of statutes of limitation. However, we cannot reasonably estimate a range of potential changes in our existing liabilities for unrecognized tax benefits due to the uncertainties of the open audits.</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 is no longer subject to examinations by tax authorities before the year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94"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The Company has unvested shares of restricted stock and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the periods. Diluted earnings per share include the effect of certain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Corporation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398,859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678,523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397,075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643,185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677,021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following table reconciles the denominator for the basic and diluted earnings per share computations shown in the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129,367,712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131,823,707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133,111,230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Plus incremental shares from:</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options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532,184</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shares—diluted</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129,974,822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132,301,812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133,643,414</w:t>
            </w:r>
          </w:p>
        </w:tc>
      </w:tr>
      <w:tr>
        <w:trPr>
          <w:trHeight w:val="284"/>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Westlake Chemical Corporation: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w:t>
            </w: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5.07</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Excluded from the computation of diluted earnings per share for the years ended December 31, 2016, 2015 and 2014 are options to purchase 318,259, 301,969 and 126,091 shares of common stock, respectively. These options were outstanding during the periods reported but were excluded because the effect of including them would have been antidilutive.</w:t>
      </w:r>
    </w:p>
    <w:p>
      <w:pPr>
        <w:spacing w:after="0" w:line="204" w:lineRule="exact"/>
        <w:rPr>
          <w:sz w:val="20"/>
          <w:szCs w:val="20"/>
          <w:color w:val="auto"/>
        </w:rPr>
      </w:pPr>
    </w:p>
    <w:p>
      <w:pPr>
        <w:ind w:right="9080" w:firstLine="8"/>
        <w:spacing w:after="0" w:line="390" w:lineRule="auto"/>
        <w:tabs>
          <w:tab w:leader="none" w:pos="27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60" w:firstLine="432"/>
        <w:spacing w:after="0" w:line="264" w:lineRule="auto"/>
        <w:rPr>
          <w:sz w:val="20"/>
          <w:szCs w:val="20"/>
          <w:color w:val="auto"/>
        </w:rPr>
      </w:pPr>
      <w:r>
        <w:rPr>
          <w:rFonts w:ascii="Arial" w:cs="Arial" w:eastAsia="Arial" w:hAnsi="Arial"/>
          <w:sz w:val="18"/>
          <w:szCs w:val="18"/>
          <w:color w:val="auto"/>
        </w:rPr>
        <w:t>Accrued liabilities were $537,483 and $287,313 at December 31, 2016 and 2015, respectively. Accrued rebates, which is a component of accrued liabilities, was $77,985 and $46,460 at December 31, 2016 and December 31, 2015, respectively. No other component of accrued liabilities was more than five percent of total current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Foreign exchange currency gains (losses), net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equity method investments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realized on previously held shares of Axiall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acquisition and related expenses,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sales of securities,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56,398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38,270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80" w:hanging="412"/>
        <w:spacing w:after="0" w:line="277"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Aggregate foreign exchange currency gains and losses included in the consolidated statements of operations for the years ended December 31, 2016, 2015 and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3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58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paid, net of interest capitalized</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45,534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31,946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35,336</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314,186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314,745</w:t>
            </w:r>
          </w:p>
        </w:tc>
      </w:tr>
      <w:tr>
        <w:trPr>
          <w:trHeight w:val="27"/>
        </w:trPr>
        <w:tc>
          <w:tcPr>
            <w:tcW w:w="67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and Affiliate Transactions</w:t>
      </w:r>
    </w:p>
    <w:p>
      <w:pPr>
        <w:spacing w:after="0" w:line="94"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Company leases office space for management and administrative services from an affiliate of the Company's principal stockholder. For the years ended December 31, 2016, 2015 and 2014, the Company incurred lease payments of approximately $3,024, $2,148 and $2,001, respectively. The amounts due to this affiliate were $236 and $196 at December 31, 2016 and 2015, respectively.</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Cypress Interstate Pipeline L.L.C., a natural gas liquids pipeline joint venture company in which the Company owns a 50% equity stake, transports natural gas liquid feedstocks to the Company's Lake Charles complex through its pipeline. The investment in Cypress Interstate Pipeline L.L.C at December 31, 2016 and 2015 was $9,098 and $9,208, respectively. For the years ended December 31, 2016, 2015 and 2014, the Company incurred pipeline fees of approximately $13,748, $14,110 and $14,206, respectively, payable to this joint venture for usage of the pipeline. The amounts due to this joint venture were $1,018 and $991 at December 31, 2016 and 2015, respectively.</w:t>
      </w:r>
    </w:p>
    <w:p>
      <w:pPr>
        <w:sectPr>
          <w:pgSz w:w="11900" w:h="16838" w:orient="portrait"/>
          <w:cols w:equalWidth="0" w:num="1">
            <w:col w:w="11400"/>
          </w:cols>
          <w:pgMar w:left="240" w:top="121"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121" w:right="259" w:bottom="1440" w:gutter="0" w:footer="0" w:header="0"/>
          <w:type w:val="continuous"/>
        </w:sectPr>
      </w:pPr>
    </w:p>
    <w:bookmarkStart w:id="101" w:name="page102"/>
    <w:bookmarkEnd w:id="10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EPS Ethylene Pipeline Süd GmbH &amp; Co. KG, an ethylene pipeline company in which the Company owns a 10% equity stake, transports ethylene feedstocks to the Company's Gendorf, Germany production facility through its pipeline. For the years ended December 31, 2016, 2015 and 2014, the Company incurred pipeline fees of approximately $797, $1,022 and $548, respectively, for usage of the pipeline. There were no outstanding amounts due to this related party at December 31, 2016 and 2015.</w:t>
      </w:r>
    </w:p>
    <w:p>
      <w:pPr>
        <w:spacing w:after="0" w:line="133"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The Company owns a 15% and an 11% equity stake in InfraServ Knapsack GmbH &amp; Co. KG and InfraServ Gendorf GmbH &amp; Co. KG, respectively. The Company has service agreements with these entities, including contracts to provide electricity and technical services to certain of the Company's production facilities in Germany. The investment in Infraserv was $49,532 and $51,333 at December 31, 2016 and 2015, respectively. For the years ended December 31, 2016, 2015 and 2014, the Company incurred charges aggregating approximately $130,840, $115,961 and $55,400, respectively, for these services. The amounts payable to these related parties were approximately $24,708 and $22,931 at December 31, 2016 and 2015, respectively.</w:t>
      </w:r>
    </w:p>
    <w:p>
      <w:pPr>
        <w:spacing w:after="0" w:line="10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owns 50% interest in Shriram Axiall Private Limited ("SAPL"), which the Company acquired as a result of the Merger. SAPL is a joint venture formed in April 2014 to facilitate the manufacture and sale of certain compound products in India. The investment in SAPL at December 31, 2016 was $1,974. For the period from August 31, 2016 to December 31, 2016, the Company recorded sales of approximately $49 to SAPL. The amount receivable from this related party was approximately $80 at December 31, 2016.</w:t>
      </w:r>
    </w:p>
    <w:p>
      <w:pPr>
        <w:spacing w:after="0" w:line="26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Company owns a 50% interest in RS Cogen LLC ("RS Cogen"), which the Company acquired as a result of the Merger. RS Cogen operates a process steam, natural gas-fired cogeneration facility adjacent to the Lake Charles South Facility. The daily operations of the cogeneration facility are the activities of RS Cogen that most significantly impact its economic performance. These activities are directed by a management team with oversight by a management committee that has equal representation from the Company and Entergy Corporation. By the terms of the joint venture agreement, all decisions of the management committee require approval by a majority of its members. Accordingly, the power to direct the activities of RS Cogen is equally shared between RS Cogen's two owners and, thus, the Company does not consider itself to be the joint venture's primary beneficiary. Accordingly, the Company accounts for its investment in RS Cogen under the equity method of accounting. The investment in and net advances to RS Cogen at December 31, 2016 were $9,949. For the period from August 31, 2016 to December 31, 2016, the Company recorded purchases of approximately $8,623 from RS Cogen. The amount payable to this related party was approximately $1,159 at December 31, 2016.</w:t>
      </w:r>
    </w:p>
    <w:p>
      <w:pPr>
        <w:spacing w:after="0" w:line="12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owns a 50% interest in Vinyl Solutions, LLC ("Vinyl Solutions"), which the Company acquired as a result of the Merger. Vinyl Solutions is a compounding manufacturer of specialty compounds. The investment in Vinyl Solutions at December 31, 2016 was $500. For the period from August 31, 2016 to December 31, 2016, the Company recorded sales of $6,218 to Vinyl Solutions. The amount receivable from this related party was $4,855 at December 31, 2016.</w:t>
      </w:r>
    </w:p>
    <w:p>
      <w:pPr>
        <w:spacing w:after="0" w:line="130" w:lineRule="exact"/>
        <w:rPr>
          <w:sz w:val="20"/>
          <w:szCs w:val="20"/>
          <w:color w:val="auto"/>
        </w:rPr>
      </w:pPr>
    </w:p>
    <w:p>
      <w:pPr>
        <w:ind w:firstLine="405"/>
        <w:spacing w:after="0" w:line="303" w:lineRule="auto"/>
        <w:rPr>
          <w:sz w:val="20"/>
          <w:szCs w:val="20"/>
          <w:color w:val="auto"/>
        </w:rPr>
      </w:pPr>
      <w:r>
        <w:rPr>
          <w:rFonts w:ascii="Arial" w:cs="Arial" w:eastAsia="Arial" w:hAnsi="Arial"/>
          <w:sz w:val="16"/>
          <w:szCs w:val="16"/>
          <w:color w:val="auto"/>
        </w:rPr>
        <w:t>On June 17, 2015, Eagle US 2 LLC ("Eagle"</w:t>
      </w:r>
      <w:r>
        <w:rPr>
          <w:rFonts w:ascii="Arial" w:cs="Arial" w:eastAsia="Arial" w:hAnsi="Arial"/>
          <w:sz w:val="17"/>
          <w:szCs w:val="17"/>
          <w:color w:val="auto"/>
        </w:rPr>
        <w:t>)</w:t>
      </w:r>
      <w:r>
        <w:rPr>
          <w:rFonts w:ascii="Arial" w:cs="Arial" w:eastAsia="Arial" w:hAnsi="Arial"/>
          <w:sz w:val="16"/>
          <w:szCs w:val="16"/>
          <w:color w:val="auto"/>
        </w:rPr>
        <w:t xml:space="preserve">, a wholly-owned subsidiary of Axiall, entered into an amended and restated limited liability company agreement with Lotte Chemical USA Corporation </w:t>
      </w:r>
      <w:r>
        <w:rPr>
          <w:rFonts w:ascii="Arial" w:cs="Arial" w:eastAsia="Arial" w:hAnsi="Arial"/>
          <w:sz w:val="17"/>
          <w:szCs w:val="17"/>
          <w:color w:val="auto"/>
        </w:rPr>
        <w:t>("</w:t>
      </w:r>
      <w:r>
        <w:rPr>
          <w:rFonts w:ascii="Arial" w:cs="Arial" w:eastAsia="Arial" w:hAnsi="Arial"/>
          <w:sz w:val="16"/>
          <w:szCs w:val="16"/>
          <w:color w:val="auto"/>
        </w:rPr>
        <w:t>Lotte") related to the formation of LACC, which was formed by Eagle and Lotte to design, build and operate a 1 billion ton per year ethylene plant. Pursuant to a contribution and subscription agreement, dated as of June 17, 2015, between Eagle and LACC, Eagle has agreed to make a maximum capital commitment to LACC of up to $225,000 to fund the construction costs of the plant, representing a 10% interest in LACC. Eagle and Lotte also entered into a call option agreement, dated as of June 17, 2015, pursuant to which Eagle has the right, but not the obligation, until the third anniversary of the substantial completion of the plant, to acquire up to a 50% ownership interest in LACC from Lotte. The construction of the plant commenced in January 2016. The plant is being built adjacent to the Company's largest chlor-alkali chemical facility, located in Lake Charles, to take advantage of the Company's existing infrastructure, access to competitive feedstock resources and ethylene distribution infrastructure. The anticipated start-up for the plant is expected to be in the first quarter of 2019. The Company acquired this investment as a result of the Merger. As of December 31, 2016, the Company's investment in LACC is $59,405. Total funding by the Company in LACC from August 31, 2016 to December 31, 2016 amounted to $17,000. The amount receivable from LACC at December 31, 2016 was approximately $820. The Company's investment in LACC is accounted for under the cost method.</w:t>
      </w:r>
    </w:p>
    <w:p>
      <w:pPr>
        <w:spacing w:after="0" w:line="106"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Dividends received from equity method investments were $5,116, $5,610 and $5,459 for the years ended December 31, 2016, 2015 and 2014, respectively.</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One of the Company's directors serves as Chairman and Chief Executive Officer of American Air Liquide Holdings, Inc. and as a Senior Vice President of the Air Liquide Group. The Company purchased oxygen, nitrogen and utilities and leased cylinders from various affiliates of American Air Liquide Holdings, Inc. including Airgas and subsidiaries that were acquired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2" w:right="239" w:bottom="1440" w:gutter="0" w:footer="0" w:header="0"/>
        </w:sectPr>
      </w:pPr>
    </w:p>
    <w:bookmarkStart w:id="102" w:name="page103"/>
    <w:bookmarkEnd w:id="10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2016 by Air Liquide Group ("Air Liquide") aggregating approximately $22,167, $10,345 and $13,862 for the years ended December 31, 2016, 2015 and 2014, respectively. The Company also sold certain utilities to Air Liquide aggregating approximately $3,988 during the year ended December 31, 2016. The amount payable to Air Liquide was $3,724 and $762 at December 31, 2016 and 2015, respectively, and the amount receivable from Air Liquide was $664 and $0 at December 31, 2016 and 2015,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Insurance Recovery</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second and third quarters of 2015, the Company's production rates and operating costs at its Knapsack, Germany and Cologne, Germany facilities were negatively impacted due to an interruption of feedstock supply as a result of a fire at a third-party supplier's ethylene production facility. During the year ended December 31, 2016, the Company received a final insurance recovery of approximately $2,670 related to business interruption costs. The insurance recovery is included in cost of sales in the consolidated statement of operations. The Company had received and recognized approximately $7,809 as a partial insurance recovery during the year ended 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Westlake Chemical Partners LP</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Westlake Partners is a publicly traded master limited partnership that was formed by the Company to operate, acquire and develop ethylene production facilities and related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of Westlake Partners</w:t>
      </w:r>
    </w:p>
    <w:p>
      <w:pPr>
        <w:spacing w:after="0" w:line="9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On August 4, 2014, Westlake Partners completed its initial public offering of 12,937,500 common units at a price of $24.00 per unit, which included 1,687,500 units purchased by the underwriters pursuant to the exercise in full of their over-allotment option. Net proceeds to Westlake Partners from the sale of the units was approximately $286,088, net of underwriting discounts, structuring fees and offering expenses (the "Offering Costs") of approximately $24,412. At the time of the initial public offering, Westlake Partners' assets consisted of a 10.6% limited partner interest in Westlake Chemical OpCo LP ("OpCo"), as well as the general partner interest in OpCo. At the time of the initial public offering, the Company retained an 89.4% limited partner interest in OpCo, a 52.2% limited partner interest in Westlake Partners (common and subordinated units), a general partner interest in Westlake Partners and incentive distribution rights. The Company consolidates Westlake Partners for financial reporting purposes as the Company has a controlling financial interest. The initial public offering represented the sale of 47.8% of the common units in Westlake Partners. OpCo used the net proceeds from the purchase of its limited partner interest to establish a cash reserve of approximately $55,419 for turnaround expenditures, to reimburse approximately $151,729 for capital expenditures incurred by the Company with respect to certain of the assets contributed to OpCo and to repay intercompany debt to the Company of approximately $78,940.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The following table is a reconciliation of proceeds from the initial public offering:</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proceeds from the initial public offering</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Less: Offering Costs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(24,412)</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initial public offering</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286,088</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Less: Cash retained by OpCo</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(55,419)</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distributed to the Company from the initial public offering</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230,669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specific outcomes with respect to such matters may be material to the Company's consolidated statements of operations in any particular period in which costs, if any, are recognized.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3" w:name="page104"/>
    <w:bookmarkEnd w:id="10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As of December 31, 2016 and December 31, 2015, the Company had reserves for environmental contingencies totaling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$48,817 (primarily as a result of the Axiall acquisition) and $5,368, 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10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From time to time the Company receives notices or inquiries from government entities regarding alleged violations of environmental laws and regulations pertaining to, among other things, the disposal, emission and storage of chemical substances, including hazardous wastes. Item 103 of the SEC's Regulation S-K requires disclosure of certain environmental matters when a governmental authority is a party to the proceedings and the proceedings involve potential monetary sanctions, unless the Company reasonably believes such sanctions would not exceed $100.</w:t>
      </w:r>
    </w:p>
    <w:p>
      <w:pPr>
        <w:spacing w:after="0" w:line="36" w:lineRule="exact"/>
        <w:rPr>
          <w:sz w:val="20"/>
          <w:szCs w:val="20"/>
          <w:color w:val="auto"/>
        </w:rPr>
      </w:pPr>
    </w:p>
    <w:p>
      <w:pPr>
        <w:ind w:left="880" w:right="80" w:hanging="318"/>
        <w:spacing w:after="0" w:line="279"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May 2013, an amendment to an existing consent order agreed to by the West Virginia Department of Environmental Protection and a predecessor of Axiall required that it, among other things, pay a penalty in the amount of $449 and continue certain corrective action associated with discharges of hexachlorocyclohexane (commonly referred to as BHC) from the Natrium, West Virginia facility's effluent discharge outfalls. The penalty was paid and corrective actions required under the amendment to the consent order are on-going.</w:t>
      </w:r>
    </w:p>
    <w:p>
      <w:pPr>
        <w:spacing w:after="0" w:line="36" w:lineRule="exact"/>
        <w:rPr>
          <w:rFonts w:ascii="Arial" w:cs="Arial" w:eastAsia="Arial" w:hAnsi="Arial"/>
          <w:sz w:val="17"/>
          <w:szCs w:val="17"/>
          <w:color w:val="auto"/>
        </w:rPr>
      </w:pPr>
    </w:p>
    <w:p>
      <w:pPr>
        <w:ind w:left="880" w:right="80" w:hanging="318"/>
        <w:spacing w:after="0" w:line="259"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May 2013 and September 2013, the Environmental Protection Agency (the "EPA") conducted inspections at the Company's Plaquemine, Louisiana facility pursuant to requirements of the federal Clean Air Act Section 112(r) Risk Management Program and Title V. As a result of the inspections, the EPA identified areas of concern and the Company has subsequently engaged in negotiations, which are anticipated to result in sanctions of $167.</w:t>
      </w:r>
    </w:p>
    <w:p>
      <w:pPr>
        <w:spacing w:after="0" w:line="51" w:lineRule="exact"/>
        <w:rPr>
          <w:rFonts w:ascii="Arial" w:cs="Arial" w:eastAsia="Arial" w:hAnsi="Arial"/>
          <w:sz w:val="18"/>
          <w:szCs w:val="18"/>
          <w:color w:val="auto"/>
        </w:rPr>
      </w:pPr>
    </w:p>
    <w:p>
      <w:pPr>
        <w:ind w:left="880" w:right="40" w:hanging="318"/>
        <w:spacing w:after="0" w:line="259"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LDEQ has issued notices of violations ("NOVs") regarding the Company's olefins facilities in Lake Charles, Louisiana for various air and water compliance issues. The Company is working with the LDEQ to settle these claims, and a global settlement of all claims is being discussed. The Company has reached a verbal agreement with the LDEQ to settle certain of the NOVs in two separate settlements for a combined $192 in civil penalties.</w:t>
      </w:r>
    </w:p>
    <w:p>
      <w:pPr>
        <w:spacing w:after="0" w:line="51" w:lineRule="exact"/>
        <w:rPr>
          <w:rFonts w:ascii="Arial" w:cs="Arial" w:eastAsia="Arial" w:hAnsi="Arial"/>
          <w:sz w:val="18"/>
          <w:szCs w:val="18"/>
          <w:color w:val="auto"/>
        </w:rPr>
      </w:pPr>
    </w:p>
    <w:p>
      <w:pPr>
        <w:ind w:left="880" w:hanging="318"/>
        <w:spacing w:after="0" w:line="302"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September 2010, the Company's vinyls facilities in north Lake Charles and Plaquemine each received a Consolidated Compliance Order and Notice of Potential Penalty, alleging violations of various requirements of those facilities' air permits, based largely on self-reported permit deviations related to record-keeping violations. The Company has been negotiating a possible global settlement of these and several other matters with the LDEQ. The Company believes the resolution of these matters may require the payment of a monetary sanction in excess of $100.</w:t>
      </w:r>
    </w:p>
    <w:p>
      <w:pPr>
        <w:spacing w:after="0" w:line="19" w:lineRule="exact"/>
        <w:rPr>
          <w:rFonts w:ascii="Arial" w:cs="Arial" w:eastAsia="Arial" w:hAnsi="Arial"/>
          <w:sz w:val="16"/>
          <w:szCs w:val="16"/>
          <w:color w:val="auto"/>
        </w:rPr>
      </w:pPr>
    </w:p>
    <w:p>
      <w:pPr>
        <w:ind w:left="880" w:right="100" w:hanging="318"/>
        <w:spacing w:after="0" w:line="264"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April 2015, Axiall received a communication from the EPA related to, among other things, the EPA's investigation of the 2012 and 2013 fires that occurred at its VCM plant in Lake Charles. In late 2015, Axiall settled this matter with the EPA, with such settlement including on-going supplemental environmental projects and a payment of $900.</w:t>
      </w:r>
    </w:p>
    <w:p>
      <w:pPr>
        <w:spacing w:after="0" w:line="46" w:lineRule="exact"/>
        <w:rPr>
          <w:rFonts w:ascii="Arial" w:cs="Arial" w:eastAsia="Arial" w:hAnsi="Arial"/>
          <w:sz w:val="18"/>
          <w:szCs w:val="18"/>
          <w:color w:val="auto"/>
        </w:rPr>
      </w:pPr>
    </w:p>
    <w:p>
      <w:pPr>
        <w:ind w:left="880" w:right="40" w:hanging="318"/>
        <w:spacing w:after="0" w:line="293"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several years, the EPA has been conducting an enforcement initiative against petroleum refineries and petrochemical plants with respect to emissions from flares. On April 21, 2014, the Company received a Clean Air Act Section 114 Information Request from the EPA which sought information regarding flares at the Calvert City, Kentucky facility and certain Lake Charles facilities. The EPA has informed the Company that the information provided leads the EPA to believe that some of the flares are out of compliance with applicable standards. The EPA has indicated that it is seeking a consent decree that would obligate the Company to take corrective actions relating to the alleged noncompliance. The Company believes the resolution of these matters may require the payment of a monetary sanction in excess of $100.</w:t>
      </w:r>
    </w:p>
    <w:p>
      <w:pPr>
        <w:spacing w:after="0" w:line="111"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Company does not believe that the resolution of any or all of these matters will have a material adverse effect on the Company's financial condition, results of operations or cash flows.</w:t>
      </w:r>
    </w:p>
    <w:p>
      <w:pPr>
        <w:spacing w:after="0" w:line="116"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Environmental Remediation: Reasonably Possible Matters. </w:t>
      </w:r>
      <w:r>
        <w:rPr>
          <w:rFonts w:ascii="Arial" w:cs="Arial" w:eastAsia="Arial" w:hAnsi="Arial"/>
          <w:sz w:val="17"/>
          <w:szCs w:val="17"/>
          <w:color w:val="auto"/>
        </w:rPr>
        <w:t>The Company's assessment of the potential impact of environmental contingencies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the Company may be subject to reasonably possible loss contingencies related to environmental matters in the range of $40,000 to $80,000.</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21" w:right="279" w:bottom="1440" w:gutter="0" w:footer="0" w:header="0"/>
        </w:sectPr>
      </w:pPr>
    </w:p>
    <w:bookmarkStart w:id="104" w:name="page105"/>
    <w:bookmarkEnd w:id="10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is obligated under various long-term and short-term noncancelable operating leases, primarily related to rail car leases and land. Several of the leases provide for renewal terms and, in certain leases, purchase options. At December 31, 2016, future minimum lease commitments for operating lease obligations and capital lease obligations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Operating</w:t>
            </w: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Leases</w:t>
            </w:r>
          </w:p>
        </w:tc>
        <w:tc>
          <w:tcPr>
            <w:tcW w:w="32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78,941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603,621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918,378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30,627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80"/>
              <w:spacing w:after="0"/>
              <w:rPr>
                <w:sz w:val="20"/>
                <w:szCs w:val="20"/>
                <w:color w:val="auto"/>
              </w:rPr>
            </w:pPr>
            <w:r>
              <w:rPr>
                <w:rFonts w:ascii="Arial" w:cs="Arial" w:eastAsia="Arial" w:hAnsi="Arial"/>
                <w:sz w:val="18"/>
                <w:szCs w:val="18"/>
                <w:color w:val="auto"/>
              </w:rPr>
              <w:t>Less: Imputed interest costs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Operating lease rental expense was approximately $87,323, $69,455 and $56,014 for the years ended December 31, 2016, 2015 and 2014, respectively.</w:t>
      </w:r>
    </w:p>
    <w:p>
      <w:pPr>
        <w:spacing w:after="0" w:line="194"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The Company has various unconditional purchase obligations, primarily to purchase goods and services, including commitments to purchase various utilities, feedstock, nitrogen, oxygen, product storage and pipeline usage. Unrecorded unconditional purchase obligations for the next five years are as follows: $307,768, $304,129, $284,894, $266,989 and $188,372 in 2017, 2018, 2019, 2020 and 2021, respectively.</w:t>
      </w:r>
    </w:p>
    <w:p>
      <w:pPr>
        <w:spacing w:after="0" w:line="189" w:lineRule="exact"/>
        <w:rPr>
          <w:sz w:val="20"/>
          <w:szCs w:val="20"/>
          <w:color w:val="auto"/>
        </w:rPr>
      </w:pPr>
    </w:p>
    <w:p>
      <w:pPr>
        <w:ind w:right="8200" w:firstLine="8"/>
        <w:spacing w:after="0" w:line="346" w:lineRule="auto"/>
        <w:tabs>
          <w:tab w:leader="none" w:pos="27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Information </w:t>
      </w:r>
      <w:r>
        <w:rPr>
          <w:rFonts w:ascii="Arial" w:cs="Arial" w:eastAsia="Arial" w:hAnsi="Arial"/>
          <w:sz w:val="18"/>
          <w:szCs w:val="18"/>
          <w:b w:val="1"/>
          <w:bCs w:val="1"/>
          <w:i w:val="1"/>
          <w:iCs w:val="1"/>
          <w:color w:val="auto"/>
        </w:rPr>
        <w:t>Segment Information</w:t>
      </w:r>
    </w:p>
    <w:p>
      <w:pPr>
        <w:spacing w:after="0" w:line="1"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The Company operates in two principal operating segments: Olefins and Vinyls. These segments are strategic business units that offer a variety of different products. The Company manages each segment separately as each business requires different technology and marketing strategies.</w:t>
      </w:r>
    </w:p>
    <w:p>
      <w:pPr>
        <w:spacing w:after="0" w:line="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Company's Olefins segment manufactures and markets polyethylene, styrene monomer and various ethylene co-products. The Company's ethylene production is used in the Company's polyethylene, styrene and vinyl chloride monomer ("VCM") operations. In addition, the Company sells ethylene and ethylene co-products, primarily propylene, crude butadiene, pyrolysis gasoline and hydrogen, to external customers.</w:t>
      </w:r>
    </w:p>
    <w:p>
      <w:pPr>
        <w:spacing w:after="0" w:line="11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majority of sales in the Company's Olefins business are made under long-term agreements where contract volumes are established within a range (typically, more than one year). Earlier terminations may occur if the parties fail to agree on price and deliveries are suspended for a period of several months. In most cases, these contracts also contemplate extension of the term unless specifically terminated by one of the parties. No single customer accounted for more than 10% of sales in the Olefins segment for the years ended December 31, 2016, 2015 or 2014.</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Company's Vinyl segment manufactures and markets PVC, VCM, EDC, chlor-alkali (chlorine and caustic soda), chlorinated derivative products and ethylene. The Company also manufactures and sells building products fabricated from PVC, including siding, pipe, fittings, profiles, trim, mouldings, fence and decking products, window and door components and film and sheet products. The Company's primary North American chemical manufacturing facilities are located in its Calvert City, Kentucky and Lake Charles, Plaquemine and Geismar, Louisiana sites. The Company also produces chlorine, caustic soda, hydrogen and chlorinated derivative products at its facilities in Natrium, Longview, Washington and Beauharnois, Quebec and PVC resin and PVC compounds at several facilities in Mississippi. In addition, the Company has manufacturing facilities in Germany, the United Kingdom, Taiwan and the People's Republic of China.</w:t>
      </w:r>
    </w:p>
    <w:p>
      <w:pPr>
        <w:spacing w:after="0" w:line="13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December 31, 2016, the Company owned 26 building products facilities. The Company uses its chlorine, VCM and PVC production to manufacture its building products. No single customer accounted for more than 10% of sales in the Vinyls segment for the years ended December 31, 2016, 2015 or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1" w:right="259" w:bottom="1440" w:gutter="0" w:footer="0" w:header="0"/>
        </w:sectPr>
      </w:pPr>
    </w:p>
    <w:bookmarkStart w:id="105" w:name="page106"/>
    <w:bookmarkEnd w:id="10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accounting policies of the individual segments are the same as those described in Note 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external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Polyethylene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1,462,407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1,922,535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Styrene, feedstock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431,227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609,149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801,155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olefins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2,260,113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2,723,690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PVC, caustic soda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2,492,562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1,203,332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Building products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689,260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484,864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488,328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vinyls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3,181,822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2,203,223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1,691,660</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5,075,456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4,463,336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4,415,350</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Intersegment sales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165,266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1,385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191,075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557,806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747,436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1,013,825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(32,574)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581,454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959,827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1,123,991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136,500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110,684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106,244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377,666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5,156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6,102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56,398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175,394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242,516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354,159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138,520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298,396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398,902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323,590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304,873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188,729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237,992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4,383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628,483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491,426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431,104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62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00"/>
          </w:cols>
          <w:pgMar w:left="240" w:top="121" w:right="259" w:bottom="620" w:gutter="0" w:footer="0" w:header="0"/>
          <w:type w:val="continuous"/>
        </w:sectPr>
      </w:pPr>
    </w:p>
    <w:bookmarkStart w:id="106" w:name="page107"/>
    <w:bookmarkEnd w:id="10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2016</w:t>
            </w: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Olefins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2,092,617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1,869,888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Vinyls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8,287,204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2,638,833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510,432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1,060,564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10,890,253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5,569,285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20" w:type="dxa"/>
            <w:vAlign w:val="bottom"/>
            <w:gridSpan w:val="8"/>
          </w:tcPr>
          <w:p>
            <w:pPr>
              <w:ind w:left="440"/>
              <w:spacing w:after="0"/>
              <w:rPr>
                <w:sz w:val="20"/>
                <w:szCs w:val="20"/>
                <w:color w:val="auto"/>
              </w:rPr>
            </w:pPr>
            <w:r>
              <w:rPr>
                <w:rFonts w:ascii="Arial" w:cs="Arial" w:eastAsia="Arial" w:hAnsi="Arial"/>
                <w:sz w:val="18"/>
                <w:szCs w:val="18"/>
                <w:color w:val="auto"/>
              </w:rPr>
              <w:t>A reconciliation of total segment income from operations to consolidated income before income taxes is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for reportable segments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581,454</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959,827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1,123,991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56,398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558,379</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963,441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1,083,918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Sales to external customers </w:t>
            </w:r>
            <w:r>
              <w:rPr>
                <w:rFonts w:ascii="Arial" w:cs="Arial" w:eastAsia="Arial" w:hAnsi="Arial"/>
                <w:sz w:val="25"/>
                <w:szCs w:val="25"/>
                <w:b w:val="1"/>
                <w:bCs w:val="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3,525,492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3,133,395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3,596,091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401,950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394,459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198,921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317,083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217,567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101,320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106,750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89,214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China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Italy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84,359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90,237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36,823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Belgium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24,082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50,371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58,727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457,101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395,985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218,616</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5,075,456</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4,463,336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4,415,350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2016</w:t>
            </w:r>
          </w:p>
        </w:tc>
        <w:tc>
          <w:tcPr>
            <w:tcW w:w="140" w:type="dxa"/>
            <w:vAlign w:val="bottom"/>
          </w:tcPr>
          <w:p>
            <w:pPr>
              <w:spacing w:after="0"/>
              <w:rPr>
                <w:sz w:val="24"/>
                <w:szCs w:val="2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5,782,796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2,588,366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401,572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379,262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235,694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6,420,062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3,004,067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Revenues are attributed to countries based on location of customer.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ectPr>
          <w:pgSz w:w="11900" w:h="16838" w:orient="portrait"/>
          <w:cols w:equalWidth="0" w:num="1">
            <w:col w:w="11400"/>
          </w:cols>
          <w:pgMar w:left="240" w:top="12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00"/>
          </w:cols>
          <w:pgMar w:left="240" w:top="122" w:right="259" w:bottom="1440" w:gutter="0" w:footer="0" w:header="0"/>
          <w:type w:val="continuous"/>
        </w:sectPr>
      </w:pPr>
    </w:p>
    <w:bookmarkStart w:id="107" w:name="page108"/>
    <w:bookmarkEnd w:id="10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Guarantor Disclosures</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Company's payment obligations under the 3.60% senior notes due 2022 are fully and unconditionally guaranteed by each of its current and future domestic subsidiaries that guarantee other debt of the Company or of another guarantor of the 3.60% senior notes due 2022 in excess of $5,000 (the "Guarantor Subsidiaries"). In October 2016, the Company executed a Joinder Agreement with the Administrative Agent of the Credit Agreement, whereby certain subsidiaries of the Company were added as Guarantor Subsidiaries. Each Guarantor Subsidiary is 100% owned by Westlake Chemical Corporation (the "100% Owned Guarantor Subsidiaries"). These guarantees are the joint and several obligations of the Guarantor Subsidiaries. The following condensed consolidating financial information presents the financial condition, results of operations and cash flows of Westlake Chemical Corporation, the 100% owned Guarantor Subsidiaries and the remaining subsidiaries that do not guarantee the 3.60% senior notes due 2022 and the Credit Agreement (the "Non-Guarantor Subsidiaries"), together with consolidating eliminations necessary to present the Company's results on a consolidated basis.</w:t>
      </w:r>
    </w:p>
    <w:p>
      <w:pPr>
        <w:spacing w:after="0" w:line="3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August 2016, certain of the Company's subsidiary guarantors were released from their guarantees of the Company's 3.60% senior notes due 2022 in connection with the replacement of the Company's revolving credit facility. Westlake Chemical OpCo LP, which was previously separately presented as a less than 100% owned guarantor, and certain of the Company's other 100% owned subsidiaries that were previously presented as guarantors, are now reflected as Non-Guarantor Subsidiaries in the condensed consolidating guarantor financial information. Prior periods were retrospectively adjusted to conform to the current presentation of Guarantor Subsidiaries and Non-Guarantor Subsidiaries.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122" w:right="279" w:bottom="1440" w:gutter="0" w:footer="0" w:header="0"/>
        </w:sectPr>
      </w:pPr>
    </w:p>
    <w:bookmarkStart w:id="108" w:name="page109"/>
    <w:bookmarkEnd w:id="10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as of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Westlake</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459,453</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2,117,540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3,329,871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323,931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(4,832,599)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938,743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801,100</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30,748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41,755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48,493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160,527</w:t>
            </w:r>
          </w:p>
        </w:tc>
        <w:tc>
          <w:tcPr>
            <w:tcW w:w="0" w:type="dxa"/>
            <w:vAlign w:val="bottom"/>
          </w:tcPr>
          <w:p>
            <w:pPr>
              <w:spacing w:after="0"/>
              <w:rPr>
                <w:sz w:val="1"/>
                <w:szCs w:val="1"/>
                <w:color w:val="auto"/>
              </w:rPr>
            </w:pPr>
          </w:p>
        </w:tc>
      </w:tr>
      <w:tr>
        <w:trPr>
          <w:trHeight w:val="237"/>
        </w:trPr>
        <w:tc>
          <w:tcPr>
            <w:tcW w:w="4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2,295,278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4,022,451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959,690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(4,869,103)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2,408,316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4,475,943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1,944,119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6,420,062</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9,170,042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2,264,597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1,484,871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0"/>
              </w:rPr>
              <w:t>(10,857,635)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2,061,875</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6"/>
              </w:rPr>
              <w:t>11,465,320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10,762,991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4"/>
              </w:rPr>
              <w:t>4,388,680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(15,726,738)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10,890,253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payable</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4,330,375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(4,807,780)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496,259</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389,216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183,223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537,483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149,341</w:t>
            </w:r>
          </w:p>
        </w:tc>
        <w:tc>
          <w:tcPr>
            <w:tcW w:w="0" w:type="dxa"/>
            <w:vAlign w:val="bottom"/>
          </w:tcPr>
          <w:p>
            <w:pPr>
              <w:spacing w:after="0"/>
              <w:rPr>
                <w:sz w:val="1"/>
                <w:szCs w:val="1"/>
                <w:color w:val="auto"/>
              </w:rPr>
            </w:pPr>
          </w:p>
        </w:tc>
      </w:tr>
      <w:tr>
        <w:trPr>
          <w:trHeight w:val="237"/>
        </w:trPr>
        <w:tc>
          <w:tcPr>
            <w:tcW w:w="4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4,356,742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1,137,580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557,864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(4,869,103)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1,183,083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3,584,949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4,090,775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(3,997,070)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3,678,654</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1,581,260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91,809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1,650,575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360,622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485,896</w:t>
            </w:r>
          </w:p>
        </w:tc>
        <w:tc>
          <w:tcPr>
            <w:tcW w:w="0" w:type="dxa"/>
            <w:vAlign w:val="bottom"/>
          </w:tcPr>
          <w:p>
            <w:pPr>
              <w:spacing w:after="0"/>
              <w:rPr>
                <w:sz w:val="1"/>
                <w:szCs w:val="1"/>
                <w:color w:val="auto"/>
              </w:rPr>
            </w:pPr>
          </w:p>
        </w:tc>
      </w:tr>
      <w:tr>
        <w:trPr>
          <w:trHeight w:val="237"/>
        </w:trPr>
        <w:tc>
          <w:tcPr>
            <w:tcW w:w="4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7,941,691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7,170,237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774,947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(8,888,667)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6,998,208</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Westlake Chemical Corporation stockholders' equity</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3,523,629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3,592,754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3,245,317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(6,838,071)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3,523,629</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368,416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368,416</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3,523,629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3,592,754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3,613,733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(6,838,071)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3,892,045</w:t>
            </w:r>
          </w:p>
        </w:tc>
        <w:tc>
          <w:tcPr>
            <w:tcW w:w="0" w:type="dxa"/>
            <w:vAlign w:val="bottom"/>
          </w:tcPr>
          <w:p>
            <w:pPr>
              <w:spacing w:after="0"/>
              <w:rPr>
                <w:sz w:val="1"/>
                <w:szCs w:val="1"/>
                <w:color w:val="auto"/>
              </w:rPr>
            </w:pPr>
          </w:p>
        </w:tc>
      </w:tr>
      <w:tr>
        <w:trPr>
          <w:trHeight w:val="257"/>
        </w:trPr>
        <w:tc>
          <w:tcPr>
            <w:tcW w:w="49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8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11,465,320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10,762,991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4,388,680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(15,726,738)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10,890,253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as of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520,144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520,144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2,474,963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(2,167,758)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508,532</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287,114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146,946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434,060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14,489</w:t>
            </w: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2,807,406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(2,170,637)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2,175,189</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1,476,642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1,527,425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3,004,067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5,003,096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914,823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1,442,436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(6,970,326)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390,029</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5,840,217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5,198,871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3,671,160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(9,140,963)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5,569,285</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1,817,963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374,468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185,931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(2,143,033)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235,329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163,167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142,633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287,313</w:t>
            </w:r>
          </w:p>
        </w:tc>
        <w:tc>
          <w:tcPr>
            <w:tcW w:w="0" w:type="dxa"/>
            <w:vAlign w:val="bottom"/>
          </w:tcPr>
          <w:p>
            <w:pPr>
              <w:spacing w:after="0"/>
              <w:rPr>
                <w:sz w:val="1"/>
                <w:szCs w:val="1"/>
                <w:color w:val="auto"/>
              </w:rPr>
            </w:pPr>
          </w:p>
        </w:tc>
      </w:tr>
      <w:tr>
        <w:trPr>
          <w:trHeight w:val="237"/>
        </w:trPr>
        <w:tc>
          <w:tcPr>
            <w:tcW w:w="4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1,827,080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537,635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328,564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(2,170,637)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522,642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758,148</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513,692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68,478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575,603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150,961</w:t>
            </w:r>
          </w:p>
        </w:tc>
        <w:tc>
          <w:tcPr>
            <w:tcW w:w="0" w:type="dxa"/>
            <w:vAlign w:val="bottom"/>
          </w:tcPr>
          <w:p>
            <w:pPr>
              <w:spacing w:after="0"/>
              <w:rPr>
                <w:sz w:val="1"/>
                <w:szCs w:val="1"/>
                <w:color w:val="auto"/>
              </w:rPr>
            </w:pPr>
          </w:p>
        </w:tc>
      </w:tr>
      <w:tr>
        <w:trPr>
          <w:trHeight w:val="237"/>
        </w:trPr>
        <w:tc>
          <w:tcPr>
            <w:tcW w:w="4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2,574,339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4"/>
              </w:rPr>
              <w:t>1,844,934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498,801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(2,910,720)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2,007,354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Westlake Chemical Corporation stockholders' equity</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3,265,878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3,353,937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2,876,306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(6,230,243)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3,265,878</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296,053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296,053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3,265,878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3,353,937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3,172,359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(6,230,243)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3,561,931</w:t>
            </w:r>
          </w:p>
        </w:tc>
        <w:tc>
          <w:tcPr>
            <w:tcW w:w="0" w:type="dxa"/>
            <w:vAlign w:val="bottom"/>
          </w:tcPr>
          <w:p>
            <w:pPr>
              <w:spacing w:after="0"/>
              <w:rPr>
                <w:sz w:val="1"/>
                <w:szCs w:val="1"/>
                <w:color w:val="auto"/>
              </w:rPr>
            </w:pPr>
          </w:p>
        </w:tc>
      </w:tr>
      <w:tr>
        <w:trPr>
          <w:trHeight w:val="257"/>
        </w:trPr>
        <w:tc>
          <w:tcPr>
            <w:tcW w:w="49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9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5,840,217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5,198,871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3,671,160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(9,140,963)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5,569,285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00" w:type="dxa"/>
            <w:vAlign w:val="bottom"/>
          </w:tcPr>
          <w:p>
            <w:pPr>
              <w:spacing w:after="0"/>
              <w:rPr>
                <w:sz w:val="24"/>
                <w:szCs w:val="24"/>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8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4,009,891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2,444,878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(1,379,313)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5,075,456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3,532,638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1,919,598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(1,357,342)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4,094,894</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477,253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525,280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980,562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295,436</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103,672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581,454</w:t>
            </w:r>
          </w:p>
        </w:tc>
        <w:tc>
          <w:tcPr>
            <w:tcW w:w="0" w:type="dxa"/>
            <w:vAlign w:val="bottom"/>
          </w:tcPr>
          <w:p>
            <w:pPr>
              <w:spacing w:after="0"/>
              <w:rPr>
                <w:sz w:val="1"/>
                <w:szCs w:val="1"/>
                <w:color w:val="auto"/>
              </w:rPr>
            </w:pPr>
          </w:p>
        </w:tc>
      </w:tr>
      <w:tr>
        <w:trPr>
          <w:trHeight w:val="243"/>
        </w:trPr>
        <w:tc>
          <w:tcPr>
            <w:tcW w:w="586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(79,473)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56,398</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79,520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488,104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558,379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138,520</w:t>
            </w:r>
          </w:p>
        </w:tc>
        <w:tc>
          <w:tcPr>
            <w:tcW w:w="0" w:type="dxa"/>
            <w:vAlign w:val="bottom"/>
          </w:tcPr>
          <w:p>
            <w:pPr>
              <w:spacing w:after="0"/>
              <w:rPr>
                <w:sz w:val="1"/>
                <w:szCs w:val="1"/>
                <w:color w:val="auto"/>
              </w:rPr>
            </w:pPr>
          </w:p>
        </w:tc>
      </w:tr>
      <w:tr>
        <w:trPr>
          <w:trHeight w:val="243"/>
        </w:trPr>
        <w:tc>
          <w:tcPr>
            <w:tcW w:w="5860" w:type="dxa"/>
            <w:vAlign w:val="bottom"/>
            <w:gridSpan w:val="2"/>
          </w:tcPr>
          <w:p>
            <w:pPr>
              <w:ind w:left="380"/>
              <w:spacing w:after="0"/>
              <w:rPr>
                <w:sz w:val="20"/>
                <w:szCs w:val="20"/>
                <w:color w:val="auto"/>
              </w:rPr>
            </w:pPr>
            <w:r>
              <w:rPr>
                <w:rFonts w:ascii="Arial" w:cs="Arial" w:eastAsia="Arial" w:hAnsi="Arial"/>
                <w:sz w:val="18"/>
                <w:szCs w:val="18"/>
                <w:color w:val="auto"/>
              </w:rPr>
              <w:t>Equity in net income of subsidiaries</w:t>
            </w:r>
          </w:p>
        </w:tc>
        <w:tc>
          <w:tcPr>
            <w:tcW w:w="1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400,057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398,859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456,994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419,859</w:t>
            </w:r>
          </w:p>
        </w:tc>
        <w:tc>
          <w:tcPr>
            <w:tcW w:w="0" w:type="dxa"/>
            <w:vAlign w:val="bottom"/>
          </w:tcPr>
          <w:p>
            <w:pPr>
              <w:spacing w:after="0"/>
              <w:rPr>
                <w:sz w:val="1"/>
                <w:szCs w:val="1"/>
                <w:color w:val="auto"/>
              </w:rPr>
            </w:pPr>
          </w:p>
        </w:tc>
      </w:tr>
      <w:tr>
        <w:trPr>
          <w:trHeight w:val="243"/>
        </w:trPr>
        <w:tc>
          <w:tcPr>
            <w:tcW w:w="586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Westlake Chemical Corporation</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398,859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435,994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398,859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60" w:type="dxa"/>
            <w:vAlign w:val="bottom"/>
            <w:gridSpan w:val="2"/>
          </w:tcPr>
          <w:p>
            <w:pPr>
              <w:ind w:left="40"/>
              <w:spacing w:after="0"/>
              <w:rPr>
                <w:sz w:val="20"/>
                <w:szCs w:val="20"/>
                <w:color w:val="auto"/>
              </w:rPr>
            </w:pPr>
            <w:r>
              <w:rPr>
                <w:rFonts w:ascii="Arial" w:cs="Arial" w:eastAsia="Arial" w:hAnsi="Arial"/>
                <w:sz w:val="18"/>
                <w:szCs w:val="18"/>
                <w:color w:val="auto"/>
                <w:w w:val="95"/>
              </w:rPr>
              <w:t>Comprehensive income (loss) attributable to Westlake Chemical 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406,845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395,682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(407,377)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406,845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860" w:type="dxa"/>
            <w:vAlign w:val="bottom"/>
            <w:gridSpan w:val="2"/>
          </w:tcPr>
          <w:p>
            <w:pPr>
              <w:ind w:left="5580"/>
              <w:spacing w:after="0"/>
              <w:rPr>
                <w:sz w:val="20"/>
                <w:szCs w:val="20"/>
                <w:color w:val="auto"/>
              </w:rPr>
            </w:pPr>
            <w:r>
              <w:rPr>
                <w:rFonts w:ascii="Arial" w:cs="Arial" w:eastAsia="Arial" w:hAnsi="Arial"/>
                <w:sz w:val="18"/>
                <w:szCs w:val="18"/>
                <w:color w:val="auto"/>
                <w:w w:val="86"/>
              </w:rPr>
              <w:t>105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3,557,806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2,286,407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(1,380,877)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4,463,336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2,842,466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1,796,734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(1,361,055)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3,278,145</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715,340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489,673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1,185,191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150,968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225,364</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564,372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397,933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959,827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38,270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963,441</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275,687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29,946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298,396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subsidiaries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663,834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646,010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259,594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423,275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(663,834)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665,045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19,035</w:t>
            </w:r>
          </w:p>
        </w:tc>
        <w:tc>
          <w:tcPr>
            <w:tcW w:w="0" w:type="dxa"/>
            <w:vAlign w:val="bottom"/>
          </w:tcPr>
          <w:p>
            <w:pPr>
              <w:spacing w:after="0"/>
              <w:rPr>
                <w:sz w:val="1"/>
                <w:szCs w:val="1"/>
                <w:color w:val="auto"/>
              </w:rPr>
            </w:pP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Westlake Chemical Corporation</w:t>
            </w:r>
          </w:p>
        </w:tc>
        <w:tc>
          <w:tcPr>
            <w:tcW w:w="4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646,010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259,594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404,240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(663,834)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646,010</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Comprehensive income attributable to Westlake Chemical Corporation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596,151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261,392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334,447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596,151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2" w:name="page113"/>
    <w:bookmarkEnd w:id="112"/>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3,617,627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2,492,099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(1,694,376)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4,415,350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3,056,659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1,714,415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(1,673,074)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3,098,000</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560,968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777,684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1,317,350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183,745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Transaction and integration-related costs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1,123,991</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401,879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702,883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1,083,918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from) provision for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398,902</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Equity in net income of subsidiaries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699,615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685,016</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Westlake Chemical Corporation</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678,523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209,220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490,395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678,523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60" w:type="dxa"/>
            <w:vAlign w:val="bottom"/>
          </w:tcPr>
          <w:p>
            <w:pPr>
              <w:ind w:left="40"/>
              <w:spacing w:after="0"/>
              <w:rPr>
                <w:sz w:val="20"/>
                <w:szCs w:val="20"/>
                <w:color w:val="auto"/>
              </w:rPr>
            </w:pPr>
            <w:r>
              <w:rPr>
                <w:rFonts w:ascii="Arial" w:cs="Arial" w:eastAsia="Arial" w:hAnsi="Arial"/>
                <w:sz w:val="18"/>
                <w:szCs w:val="18"/>
                <w:color w:val="auto"/>
                <w:w w:val="94"/>
              </w:rPr>
              <w:t>Comprehensive income attributable to Westlake Chemical Corporation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601,706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203,428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419,313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(622,741)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601,706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Chemical</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2"/>
            <w:vMerge w:val="continue"/>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Corporation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398,859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(35,937)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   456,994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(400,057)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   419,859</w:t>
            </w:r>
          </w:p>
        </w:tc>
        <w:tc>
          <w:tcPr>
            <w:tcW w:w="0" w:type="dxa"/>
            <w:vAlign w:val="bottom"/>
          </w:tcPr>
          <w:p>
            <w:pPr>
              <w:spacing w:after="0"/>
              <w:rPr>
                <w:sz w:val="1"/>
                <w:szCs w:val="1"/>
                <w:color w:val="auto"/>
              </w:rPr>
            </w:pP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(used for) provided by operating activities</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216,374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377,666</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880" w:type="dxa"/>
            <w:vAlign w:val="bottom"/>
            <w:gridSpan w:val="2"/>
          </w:tcPr>
          <w:p>
            <w:pPr>
              <w:jc w:val="right"/>
              <w:ind w:right="14"/>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103,315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100,677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8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(437,148)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90,183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(117,442)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400,057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color w:val="auto"/>
              </w:rPr>
              <w:t>Net cash (used for) provided by operating activities</w:t>
            </w:r>
          </w:p>
        </w:tc>
        <w:tc>
          <w:tcPr>
            <w:tcW w:w="84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(37,075)</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373,935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496,992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833,852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8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(2,502,018)</w:t>
            </w:r>
          </w:p>
        </w:tc>
        <w:tc>
          <w:tcPr>
            <w:tcW w:w="1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64,189</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(2,437,829)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cost method investments</w:t>
            </w:r>
          </w:p>
        </w:tc>
        <w:tc>
          <w:tcPr>
            <w:tcW w:w="8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8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(274,564)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(353,919)</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(628,483)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8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1880" w:type="dxa"/>
            <w:vAlign w:val="bottom"/>
            <w:gridSpan w:val="2"/>
          </w:tcPr>
          <w:p>
            <w:pPr>
              <w:jc w:val="right"/>
              <w:ind w:right="14"/>
              <w:spacing w:after="0"/>
              <w:rPr>
                <w:sz w:val="20"/>
                <w:szCs w:val="20"/>
                <w:color w:val="auto"/>
              </w:rPr>
            </w:pPr>
            <w:r>
              <w:rPr>
                <w:rFonts w:ascii="Arial" w:cs="Arial" w:eastAsia="Arial" w:hAnsi="Arial"/>
                <w:sz w:val="18"/>
                <w:szCs w:val="18"/>
                <w:color w:val="auto"/>
              </w:rPr>
              <w:t>658,338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662,938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(138,422)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(138,422)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8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investing activities</w:t>
            </w:r>
          </w:p>
        </w:tc>
        <w:tc>
          <w:tcPr>
            <w:tcW w:w="18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519,916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(2,797,756)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(2,562,800)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financing</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(2,199,148)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2,207,119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Capitalized debt issuance costs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(34,183)</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(35,773)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(96,560)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(96,560)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Distributions paid</w:t>
            </w:r>
          </w:p>
        </w:tc>
        <w:tc>
          <w:tcPr>
            <w:tcW w:w="8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262,890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(279,527)</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(16,637)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issuance</w:t>
            </w:r>
          </w:p>
        </w:tc>
        <w:tc>
          <w:tcPr>
            <w:tcW w:w="18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1,428,512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1,428,512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880" w:type="dxa"/>
            <w:vAlign w:val="bottom"/>
            <w:gridSpan w:val="2"/>
          </w:tcPr>
          <w:p>
            <w:pPr>
              <w:jc w:val="right"/>
              <w:ind w:right="14"/>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notes payable</w:t>
            </w:r>
          </w:p>
        </w:tc>
        <w:tc>
          <w:tcPr>
            <w:tcW w:w="8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Proceeds from term loan and drawdown of revolver</w:t>
            </w:r>
          </w:p>
        </w:tc>
        <w:tc>
          <w:tcPr>
            <w:tcW w:w="1880" w:type="dxa"/>
            <w:vAlign w:val="bottom"/>
            <w:gridSpan w:val="2"/>
          </w:tcPr>
          <w:p>
            <w:pPr>
              <w:jc w:val="right"/>
              <w:ind w:right="14"/>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associated with term loan</w:t>
            </w:r>
          </w:p>
        </w:tc>
        <w:tc>
          <w:tcPr>
            <w:tcW w:w="8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8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revolver</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459"/>
        </w:trPr>
        <w:tc>
          <w:tcPr>
            <w:tcW w:w="5000" w:type="dxa"/>
            <w:vAlign w:val="bottom"/>
          </w:tcPr>
          <w:p>
            <w:pPr>
              <w:spacing w:after="0"/>
              <w:rPr>
                <w:sz w:val="24"/>
                <w:szCs w:val="24"/>
                <w:color w:val="auto"/>
              </w:rPr>
            </w:pPr>
          </w:p>
        </w:tc>
        <w:tc>
          <w:tcPr>
            <w:tcW w:w="1880" w:type="dxa"/>
            <w:vAlign w:val="bottom"/>
            <w:gridSpan w:val="2"/>
          </w:tcPr>
          <w:p>
            <w:pPr>
              <w:jc w:val="right"/>
              <w:ind w:right="95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4" w:name="page115"/>
    <w:bookmarkEnd w:id="114"/>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(67,406)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Windfall tax benefits from share-based payment arrangements</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37"/>
        </w:trPr>
        <w:tc>
          <w:tcPr>
            <w:tcW w:w="5040" w:type="dxa"/>
            <w:vAlign w:val="bottom"/>
          </w:tcPr>
          <w:p>
            <w:pPr>
              <w:ind w:left="720"/>
              <w:spacing w:after="0"/>
              <w:rPr>
                <w:sz w:val="20"/>
                <w:szCs w:val="20"/>
                <w:color w:val="auto"/>
              </w:rPr>
            </w:pPr>
            <w:r>
              <w:rPr>
                <w:rFonts w:ascii="Arial" w:cs="Arial" w:eastAsia="Arial" w:hAnsi="Arial"/>
                <w:sz w:val="18"/>
                <w:szCs w:val="18"/>
                <w:color w:val="auto"/>
              </w:rPr>
              <w:t>Net cash (used for) provided by financing activities</w:t>
            </w:r>
          </w:p>
        </w:tc>
        <w:tc>
          <w:tcPr>
            <w:tcW w:w="8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(638,982)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2,470,009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1,533,217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46,188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(203,072)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303,131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352,576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8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146,990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53,006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259,457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459,453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5" w:name="page116"/>
    <w:bookmarkEnd w:id="115"/>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665,045</w:t>
            </w:r>
          </w:p>
        </w:tc>
        <w:tc>
          <w:tcPr>
            <w:tcW w:w="0" w:type="dxa"/>
            <w:vAlign w:val="bottom"/>
          </w:tcPr>
          <w:p>
            <w:pPr>
              <w:spacing w:after="0"/>
              <w:rPr>
                <w:sz w:val="1"/>
                <w:szCs w:val="1"/>
                <w:color w:val="auto"/>
              </w:rPr>
            </w:pP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(used for) provided by operating activities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245,757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39,784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663,834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128,250</w:t>
            </w:r>
          </w:p>
        </w:tc>
        <w:tc>
          <w:tcPr>
            <w:tcW w:w="0" w:type="dxa"/>
            <w:vAlign w:val="bottom"/>
          </w:tcPr>
          <w:p>
            <w:pPr>
              <w:spacing w:after="0"/>
              <w:rPr>
                <w:sz w:val="1"/>
                <w:szCs w:val="1"/>
                <w:color w:val="auto"/>
              </w:rPr>
            </w:pPr>
          </w:p>
        </w:tc>
      </w:tr>
      <w:tr>
        <w:trPr>
          <w:trHeight w:val="237"/>
        </w:trPr>
        <w:tc>
          <w:tcPr>
            <w:tcW w:w="5040" w:type="dxa"/>
            <w:vAlign w:val="bottom"/>
          </w:tcPr>
          <w:p>
            <w:pPr>
              <w:ind w:left="720"/>
              <w:spacing w:after="0"/>
              <w:rPr>
                <w:sz w:val="20"/>
                <w:szCs w:val="20"/>
                <w:color w:val="auto"/>
              </w:rPr>
            </w:pPr>
            <w:r>
              <w:rPr>
                <w:rFonts w:ascii="Arial" w:cs="Arial" w:eastAsia="Arial" w:hAnsi="Arial"/>
                <w:sz w:val="18"/>
                <w:szCs w:val="18"/>
                <w:color w:val="auto"/>
              </w:rPr>
              <w:t>Net cash (used for) provided by operating activities</w:t>
            </w:r>
          </w:p>
        </w:tc>
        <w:tc>
          <w:tcPr>
            <w:tcW w:w="8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505,482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586,402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1,078,836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(491,426)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equity method investment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48,900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48,900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(605,098)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provided by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(1,006,176)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financing</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notes payable</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Repayment of notes payable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Windfall tax benefits from share-based payment arrangements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(286,812)</w:t>
            </w: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6" w:name="page117"/>
    <w:bookmarkEnd w:id="116"/>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(218,076)</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655,947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221,607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880,601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303,131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352,576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662,525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Financial Information for the Year Ended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685,016</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9"/>
              </w:rPr>
              <w:t>Adjustments to reconcile net income (loss) to net cash (used for)</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provided by operating activities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208,486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58,967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changes in working capital and other</w:t>
            </w: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645,658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699,615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79,907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cash (used for) provided by operating activities</w:t>
            </w:r>
          </w:p>
        </w:tc>
        <w:tc>
          <w:tcPr>
            <w:tcW w:w="6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1,260,816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1,032,376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Acquisition of business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(611,087)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(611,087)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repayment of loan to affiliate</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Proceeds from sales and maturities of securities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342,045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342,045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financing</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distributions prior to Westlake Partners initial public offering</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448,101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debt issuance costs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151,729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9"/>
              </w:rPr>
              <w:t>Net proceeds from issuance of Westlake Partners common units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286,088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Repurchase of common stock for treasury</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Windfall tax benefits from share-based payment arrangements</w:t>
            </w: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cash provided (used for) by financing activities</w:t>
            </w:r>
          </w:p>
        </w:tc>
        <w:tc>
          <w:tcPr>
            <w:tcW w:w="6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409,768</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(281,549)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164,640</w:t>
            </w: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4"/>
                <w:szCs w:val="24"/>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112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8" w:name="page119"/>
    <w:bookmarkEnd w:id="118"/>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Westlake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100% Owned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Chemical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234,999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187,467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419,300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420,948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461,301</w:t>
            </w:r>
          </w:p>
        </w:tc>
        <w:tc>
          <w:tcPr>
            <w:tcW w:w="0" w:type="dxa"/>
            <w:vAlign w:val="bottom"/>
          </w:tcPr>
          <w:p>
            <w:pPr>
              <w:spacing w:after="0"/>
              <w:rPr>
                <w:sz w:val="1"/>
                <w:szCs w:val="1"/>
                <w:color w:val="auto"/>
              </w:rPr>
            </w:pP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8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655,947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221,607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880,601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113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ind w:left="6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CORPORATION</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975,187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1,086,061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1,735,180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255,585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241,366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202,133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281,478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128,936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115,620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70,014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105,289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123,128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111,124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98,945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51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0.76</w:t>
            </w:r>
          </w:p>
        </w:tc>
      </w:tr>
      <w:tr>
        <w:trPr>
          <w:trHeight w:val="588"/>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1,185,002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986,766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284,546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353,181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311,276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236,188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295,374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150,407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210,061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188,420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116,157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Corporation</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146,342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183,604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110,969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51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Westlake Chemical Corporation: </w:t>
            </w:r>
            <w:r>
              <w:rPr>
                <w:rFonts w:ascii="Arial" w:cs="Arial" w:eastAsia="Arial" w:hAnsi="Arial"/>
                <w:sz w:val="25"/>
                <w:szCs w:val="25"/>
                <w:color w:val="auto"/>
                <w:vertAlign w:val="superscript"/>
              </w:rPr>
              <w:t>(1)</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0.84</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6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Basic and diluted earnings per common share ("EPS") for each quarter is computed using the weighted average shares outstanding during that quarter, while EPS for the year is computed using the weighted average shares outstanding for the year. As a result, the sum of the EPS for each of the four quarters may not equal the EPS for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President and Chief Executive Officer (our principal executive officer) and our Senior Vice President, Chief Financial Officer and Treasurer (our principal financial officer), of the effectiveness of our disclosure controls and procedures pursuant to Rules 13a-15 and 15d-15 under the Securities Exchange Act of 1934 as of the end of the period covered by this Form 10-K. Based upon that evaluation, our President and Chief Executive Officer and our Senior Vice President, Chief Financial Officer and Treasurer concluded that our disclosure controls and procedures are effective as of December 31, 2016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Westlake's management's report on internal control over financial reporting appears on page 48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2016, as stated in their report that appears on page 49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described below, there were no changes in our internal control over financial reporting that occurred during the quarter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that have materially affected, or are reasonably likely to materially affect, our internal control over financial reporting.</w:t>
      </w:r>
    </w:p>
    <w:p>
      <w:pPr>
        <w:spacing w:after="0" w:line="15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year ended December 31, 2016, we acquired all the remaining equity interest in Axiall Corporation ("Axiall"). We are in the process of integrating Axiall into our overall internal control over financial reporting process. In accordance with the SEC's published guidance, because we acquired Axiall during 2016, we excluded Axiall from our assessment of the effectiveness of our internal control over financial reporting as of December 31, 2016. Axiall's total assets and total net sales represent 52.3% and 19.1% respectively, of the related consolidated financial statement amounts as of and for the year ended December 31,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1" w:right="25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Item 401(b) of Regulation S-K, the information required by this item with respect to our executive officers is set forth in Part I of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Items 10, 11, 12, 13 and 14 is incorporated by reference to the Proxy Statement, which will be filed with the SEC pursuant to Regulation 14A under the Exchange Act within 120 days of December 31, 2016.</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122" w:right="29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(a)(1)</w:t>
            </w:r>
          </w:p>
        </w:tc>
        <w:tc>
          <w:tcPr>
            <w:tcW w:w="160" w:type="dxa"/>
            <w:vAlign w:val="bottom"/>
          </w:tcPr>
          <w:p>
            <w:pPr>
              <w:spacing w:after="0"/>
              <w:rPr>
                <w:sz w:val="20"/>
                <w:szCs w:val="20"/>
                <w:color w:val="auto"/>
              </w:rPr>
            </w:pP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w w:val="92"/>
              </w:rPr>
              <w:t>The financial statements listed in the Index to Consolidated Financial Statements in Item 8 of this Form 10-K are filed as part of this Form 10-K.</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(a)(2)</w:t>
            </w:r>
          </w:p>
        </w:tc>
        <w:tc>
          <w:tcPr>
            <w:tcW w:w="160" w:type="dxa"/>
            <w:vAlign w:val="bottom"/>
          </w:tcPr>
          <w:p>
            <w:pPr>
              <w:spacing w:after="0"/>
              <w:rPr>
                <w:sz w:val="24"/>
                <w:szCs w:val="24"/>
                <w:color w:val="auto"/>
              </w:rPr>
            </w:pPr>
          </w:p>
        </w:tc>
        <w:tc>
          <w:tcPr>
            <w:tcW w:w="10640" w:type="dxa"/>
            <w:vAlign w:val="bottom"/>
            <w:gridSpan w:val="3"/>
            <w:vMerge w:val="restart"/>
          </w:tcPr>
          <w:p>
            <w:pPr>
              <w:ind w:left="100"/>
              <w:spacing w:after="0"/>
              <w:rPr>
                <w:sz w:val="20"/>
                <w:szCs w:val="20"/>
                <w:color w:val="auto"/>
              </w:rPr>
            </w:pPr>
            <w:r>
              <w:rPr>
                <w:rFonts w:ascii="Arial" w:cs="Arial" w:eastAsia="Arial" w:hAnsi="Arial"/>
                <w:sz w:val="18"/>
                <w:szCs w:val="18"/>
                <w:color w:val="auto"/>
                <w:w w:val="91"/>
              </w:rPr>
              <w:t>All schedules are omitted because the information is not applicable, not required, or has been furnished in the Consolidated Financial Statements</w:t>
            </w:r>
          </w:p>
        </w:tc>
        <w:tc>
          <w:tcPr>
            <w:tcW w:w="0" w:type="dxa"/>
            <w:vAlign w:val="bottom"/>
          </w:tcPr>
          <w:p>
            <w:pPr>
              <w:spacing w:after="0"/>
              <w:rPr>
                <w:sz w:val="1"/>
                <w:szCs w:val="1"/>
                <w:color w:val="auto"/>
              </w:rPr>
            </w:pPr>
          </w:p>
        </w:tc>
      </w:tr>
      <w:tr>
        <w:trPr>
          <w:trHeight w:val="67"/>
        </w:trPr>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or Notes thereto in Item 8 of this Form 10-K.</w:t>
            </w:r>
          </w:p>
        </w:tc>
        <w:tc>
          <w:tcPr>
            <w:tcW w:w="0" w:type="dxa"/>
            <w:vAlign w:val="bottom"/>
          </w:tcPr>
          <w:p>
            <w:pPr>
              <w:spacing w:after="0"/>
              <w:rPr>
                <w:sz w:val="1"/>
                <w:szCs w:val="1"/>
                <w:color w:val="auto"/>
              </w:rPr>
            </w:pP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(a)(3)</w:t>
            </w:r>
          </w:p>
        </w:tc>
        <w:tc>
          <w:tcPr>
            <w:tcW w:w="10800" w:type="dxa"/>
            <w:vAlign w:val="bottom"/>
            <w:gridSpan w:val="4"/>
          </w:tcPr>
          <w:p>
            <w:pPr>
              <w:ind w:left="1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10640" w:type="dxa"/>
            <w:vAlign w:val="bottom"/>
            <w:gridSpan w:val="3"/>
          </w:tcPr>
          <w:p>
            <w:pPr>
              <w:ind w:left="5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Share Purchase Agreement dated as of May 28, 2014 by and among Westlake Germany GmbH &amp; Co. KG and various entities associated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with Advent International Corporation (incorporated by reference to Westlake's Quarterly Report on Form 10-Q for the quarter ended June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30, 2014, filed on August 6, 2014, 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Agreement and Plan of Merger, dated June 10, 2016, by and among Westlake Chemical Corporation, Lagoon Merger Sub, Inc. and Axiall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Corporation (incorporated by reference to Exhibit 2.1 to Westlake's Current Report on Form 8-K, filed on June 14, 2016, File No. 001-</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5"/>
              </w:rPr>
              <w:t>Certificate of Incorporation of Westlake as filed with the Delaware Secretary of State on August 6, 2004 (incorporated by reference to</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Westlake's Registration Statement on Form S-1/A, filed on August 9, 2004).</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3"/>
              </w:rPr>
              <w:t>Certificate of Amendment to the Amended and Restated Certificate of Incorporation of Westlake as filed with the Delaware Secretary of</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State on May 16, 2014 (incorporated by reference to Westlake's Current Report on Form 8-K, filed on May 16, 2014, File No. 001-32260).</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Bylaws of Westlake (incorporated by reference to Westlake's Registration Statement on Form S-1/A, filed on August 9, 2004).</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January 1, 2006 by and among Westlake, the potential subsidiary guarantors listed therein and JPMorgan Chase Bank,</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8"/>
              </w:rPr>
              <w:t>National Association, as trustee (incorporated by reference to Westlake's Current Report on Form 8-K, filed on January 13, 2006,</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Second Supplemental Indenture, dated as of November 1, 2007, among the Company, the Subsidiary Guarantors (as defined therein)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The Bank of New York Trust Company, N.A., as trustee (incorporated by reference to Westlake's Current Report on Form 8-K, filed on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18, 2007, 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Third Supplemental Indenture, dated as of July 2, 2010, among the Company, the Subsidiary Guarantors (as defined therein) and The Bank</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of New York Mellon Trust Company, N.A., as trustee (incorporated by reference to Westlake's Current Report on Form 8-K, filed on July 8,</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2010, 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Fourth Supplemental Indenture, dated as of December 2, 2010, among the Company, the Subsidiary Guarantors (as defined therein)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Westlake's Current Report on Form 8-K, filed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on December 8, 2010, 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Fifth Supplemental Indenture, dated as of December 2, 2010, among the Company, the Subsidiary Guarantors (as defined therein) and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Bank of New York Mellon Trust Company, N.A., as trustee (incorporated by reference to Westlake's Current Report on Form 8-K, filed on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8, 2010, 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Supplemental Indenture, dated as of December 31, 2007, among the Company, WPT LLC, Westlake Polymers LLC, Westlake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Petrochemicals LLC, Westlake Styrene LLC, the other subsidiary guarantors party thereto and The Bank of New York Trust Company,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N.A. related to the 6 ¾% senior notes (incorporated by reference to Exhibit 4.7 to Westlake's Annual Report on Form 10-K for the year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ended December 31, 2007, filed on February 20, 2008, File No. 1-32260).</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Sixth Supplemental Indenture, dated as of July 17, 2012, among the Company, the Subsidiary Guarantors (as defined therein) and The Bank</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of New York Mellon Trust Company, N.A., as trustee (incorporated by reference to Exhibit 4.2 to the Company's Current Report on Form</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8-K, filed with the Securities and Exchange Commission on July 16, 2012, File No. 1-32260).</w:t>
            </w:r>
          </w:p>
        </w:tc>
        <w:tc>
          <w:tcPr>
            <w:tcW w:w="0" w:type="dxa"/>
            <w:vAlign w:val="bottom"/>
          </w:tcPr>
          <w:p>
            <w:pPr>
              <w:spacing w:after="0"/>
              <w:rPr>
                <w:sz w:val="1"/>
                <w:szCs w:val="1"/>
                <w:color w:val="auto"/>
              </w:rPr>
            </w:pPr>
          </w:p>
        </w:tc>
      </w:tr>
      <w:tr>
        <w:trPr>
          <w:trHeight w:val="60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40" w:type="dxa"/>
            <w:vAlign w:val="bottom"/>
            <w:gridSpan w:val="3"/>
          </w:tcPr>
          <w:p>
            <w:pPr>
              <w:ind w:left="48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2" w:right="27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Seventh Supplemental Indenture, dated as of February 12, 2013, among the Company, the Subsidiary Guarantors (as defined therein) and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Exhibit 4.16 to Westlake's Annual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May 1, 2013, among North American Specialty Products LLC, a Delaware limited liability company,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the Company, the other Subsidiary Guarantors (as defined therein) and The Bank of New York Mellon Trust Company, N.A., as trustee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(incorporated by reference to Exhibit 4.2 to Westlake's Current Report on Form 8-K, filed on July 31,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June 1, 2013, among Westlake Pipeline Investments LLC, a Delaware limited liability company,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6"/>
              </w:rPr>
              <w:t>Company, the other Subsidiary Guarantors (as defined therein) and The Bank of New York Mellon Trust Company, N.A., as trustee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(incorporated by reference to Exhibit 4.3 to Westlake's Quarterly Report on Form 10-Q for the quarter ended June 30, 2013, and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July 31, 2013, File No. 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dated as of June 1, 2013, among Westlake NG IV Corporation, a Delaware corporation, and Westlake NG V</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5"/>
              </w:rPr>
              <w:t>Corporation, a Delaware corporation, the Company, the other Subsidiary Guarantors (as defined therein) and The Bank of New York</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4"/>
              </w:rPr>
              <w:t>Mellon Trust Company, N.A., as trustee (incorporated by reference to Exhibit 4.4 to Westlake's Quarterly Report on Form 10-Q for the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quarter ended June 30, 2013, and filed on July 31,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Supplemental Indenture dated as of July 17, 2014 among Westlake Chemical OpCo, LP, the Company, the other Subsidiary Guarantors (as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defined therein) and The Bank of New York Mellon Trust Company, N.A., as trustee (incorporated by reference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June 30, 2014, filed on August 6, 2014,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Eighth Supplemental Indenture (including the form of the Notes), dated as of August 10, 2016, among Westlake Chemical Corporation,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Guarantors (as defined therein) and The Bank of New York Mellon Trust Company, N.A., as trustee (incorporated by reference to Exhibit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4.2 to Westlake's Current Report on Form 8-K, filed on August 10, 2016, File No. 001-32260).</w:t>
            </w:r>
          </w:p>
        </w:tc>
      </w:tr>
      <w:tr>
        <w:trPr>
          <w:trHeight w:val="526"/>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7"/>
              </w:rPr>
              <w:t>Fourth Supplemental Indenture, dated as of August 22, 2016, to the Indenture, dated as of February 1, 2013, by and among Axiall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5"/>
              </w:rPr>
              <w:t>Corporation, the guarantors party thereto and U.S. Bank National Association, as trustee (incorporated by reference to Exhibit 4.1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Axiall's Current Report on Form 8-K, filed on August 22, 2016, File No. 001-09753).</w:t>
            </w:r>
          </w:p>
        </w:tc>
      </w:tr>
      <w:tr>
        <w:trPr>
          <w:trHeight w:val="526"/>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1"/>
              </w:rPr>
              <w:t>Fifth Supplemental Indenture, dated as of August 22, 2016, to the Indenture, dated as of January 28, 2013, by and among Eagles Spinco,</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1"/>
              </w:rPr>
              <w:t>In., the guarantors party thereto and U.S. Bank National Association, as trustee (incorporated by reference to Exhibit 4.2 to Axiall's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August 22, 2016, File No. 001-09753).</w:t>
            </w:r>
          </w:p>
        </w:tc>
      </w:tr>
      <w:tr>
        <w:trPr>
          <w:trHeight w:val="526"/>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4"/>
              </w:rPr>
              <w:t>Ninth Supplemental Indenture (including the form of the Notes) as of September 7, 2016, among Westlake Chemical Corporation,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Guarantors (as defined therein) and the Bank of New York Mellon Trust Company, N.A., as trustee (incorporated by reference to Exhibit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4.2 to Westlake's Current Report on Form 8-K, filed on September 7, 2016, File No. 001-32260).</w:t>
            </w:r>
          </w:p>
        </w:tc>
      </w:tr>
      <w:tr>
        <w:trPr>
          <w:trHeight w:val="526"/>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Indenture dated as of September 8, 2016 by and among Westlake and The Bank of New York Mellon Trust Company, N.A., as trustee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4"/>
              </w:rPr>
              <w:t>(incorporated by reference to Exhibit 4.4 to Westlake's Registration Statement on Form S-3, filed on September 8, 2016, File No. 333-</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213548).</w:t>
            </w:r>
          </w:p>
        </w:tc>
      </w:tr>
      <w:tr>
        <w:trPr>
          <w:trHeight w:val="526"/>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4.18†</w:t>
            </w: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October 25, 2016, among the Company, the Guaranteeing subsidiaries (as defined therein) and the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other subsidiary guarantors (as defined therein) and the Bank of New York Mellon Trust Company, as trustee.</w:t>
            </w:r>
          </w:p>
        </w:tc>
      </w:tr>
      <w:tr>
        <w:trPr>
          <w:trHeight w:val="3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Westlake and its subsidiaries are party to other long-term debt instruments not filed herewith under which the total amount of securities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authorized does not exceed 10% of the total assets of Westlake and its subsidiaries on a consolidated basis. Pursuant to paragraph 4(iii)(A)</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of Item 601(b) of Regulation S-K, Westlake agrees to furnish a copy of such instruments to the SEC upon request.</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0"/>
              </w:rPr>
              <w:t>Third Amended and Restated Credit Agreement dated as of July 17, 2014 by and among the financial institutions party thereto, as lenders,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2"/>
              </w:rPr>
              <w:t>Bank of America, N.A., as agent, and Westlake Chemical Corporation and certain of its domestic subsidiaries, as borrowers, relating to a</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w w:val="93"/>
              </w:rPr>
              <w:t>$400.0 million senior secured revolving credit facility (incorporated by reference to Westlake's Current Report on Form 8-K, filed on July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gridSpan w:val="3"/>
          </w:tcPr>
          <w:p>
            <w:pPr>
              <w:ind w:left="140"/>
              <w:spacing w:after="0"/>
              <w:rPr>
                <w:sz w:val="20"/>
                <w:szCs w:val="20"/>
                <w:color w:val="auto"/>
              </w:rPr>
            </w:pPr>
            <w:r>
              <w:rPr>
                <w:rFonts w:ascii="Arial" w:cs="Arial" w:eastAsia="Arial" w:hAnsi="Arial"/>
                <w:sz w:val="18"/>
                <w:szCs w:val="18"/>
                <w:color w:val="auto"/>
              </w:rPr>
              <w:t>17, 2014, File No. 001-32260).</w:t>
            </w:r>
          </w:p>
        </w:tc>
      </w:tr>
    </w:tbl>
    <w:p>
      <w:pPr>
        <w:spacing w:after="0" w:line="200" w:lineRule="exact"/>
        <w:rPr>
          <w:sz w:val="20"/>
          <w:szCs w:val="20"/>
          <w:color w:val="auto"/>
        </w:rPr>
      </w:pPr>
    </w:p>
    <w:p>
      <w:pPr>
        <w:sectPr>
          <w:pgSz w:w="11900" w:h="16838" w:orient="portrait"/>
          <w:cols w:equalWidth="0" w:num="1">
            <w:col w:w="11340"/>
          </w:cols>
          <w:pgMar w:left="240" w:top="113" w:right="31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340"/>
          </w:cols>
          <w:pgMar w:left="240" w:top="113" w:right="31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4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Borrower Joinder Agreement, dated as of May 1, 2013, between North American Specialty Products LLC, a Delaware limited liability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company, the Existing Borrowers (as defined therein) and Bank of America, N.A., as administrative agent (incorporated by reference to</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Exhibit 4.1 to Westlake's Quarterly Report on Form 10-Q for the quarter ended on June 30, 2013, and filed on July 31, 2013, File No. 1-</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6"/>
              </w:rPr>
              <w:t>Credit Agreement, dated as of August 10, 2016, by and between Bank of America, N.A. and Westlake International Holdings II C.V.</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(incorporated by reference to Exhibit 10.3 to Westlake's Quarterly Report on Form 10-Q for the quarter ended on September 30, 2016, and</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filed on November 9, 2016,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89"/>
              </w:rPr>
              <w:t>Credit Agreement, dated as of August 23, 2016, by and among Westlake Chemical Corporation, the other borrowers and guarantors referred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to therein, the lenders from time to time party thereto, the issuing banks party thereto and JPMorgan Chase Bank, National Association, as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8"/>
              </w:rPr>
              <w:t>Administrative Agent, relating to a $1 billion senior unsecured revolving credit facility (incorporated by reference to Exhibit 10.1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Westlake's Current Report on Form 8-K, filed on August 24, 2016, File No. 001-32260).</w:t>
            </w:r>
          </w:p>
        </w:tc>
      </w:tr>
      <w:tr>
        <w:trPr>
          <w:trHeight w:val="377"/>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10.5†</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7"/>
              </w:rPr>
              <w:t>Joinder Agreement, dated as of October 14, 2016, among JPMorgan Chase Bank, N.A., as Administrative Agent, and certain new</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guarantors (as defined therein).</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2007,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9"/>
              </w:rPr>
              <w:t>Facilities and Community Development Authority (incorporated by reference to Westlake's Current Report on Form 8-K,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December 18,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Amended and Restated Loan Agreement, dated as of July 2, 2010, by and between the Company and the Louisiana Local Government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4"/>
              </w:rPr>
              <w:t>Environmental Facilities and Community Development Authority (incorporated by reference to Westlake's Current Report on Form 8-K,</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filed on July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Facilities and Community Development Authority, relating to the 2035 GO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Facilities and Community Development Authority, relating to the 2035 IKE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9"/>
              </w:rPr>
              <w:t>Senior Unsecured Revolving Credit Agreement between Westlake Chemical OpCo LP and Westlake Development Corporation</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2"/>
              </w:rPr>
              <w:t>(incorporated by reference to Exhibit 10.13 to Westlake Chemical Partners LP's Registration Statement on Form S-1/A, filed on June 30,</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2014, File No. 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Senior Unsecured Revolving Credit Agreement by and among Westlake Chemical Partners GP LLC and Westlake Chemical Finance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2"/>
              </w:rPr>
              <w:t>Corporation, dated as of April 29, 2015 (incorporated by reference to Exhibit 10.1 to Westlake Chemical Partners LP's Current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Form 8-K filed on April 30, 2015, File No. 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Form of Registration Rights Agreement between Westlake and TTWF LP (incorporated by reference to Westlake's Registration Statement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on Form S-1/A, filed on July 2, 2004).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10.13</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Registration Rights Agreement, dated as of August 10, 2016, among Westlake Chemical Corporation, the Guarantors (as defined therein)</w:t>
            </w:r>
          </w:p>
        </w:tc>
      </w:tr>
      <w:tr>
        <w:trPr>
          <w:trHeight w:val="216"/>
        </w:trPr>
        <w:tc>
          <w:tcPr>
            <w:tcW w:w="82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and Deutsche Bank Securities Inc. and Goldman Sachs &amp; Co., as representatives of the Initial Purchasers (as defined therein) (incorporated</w:t>
            </w:r>
          </w:p>
        </w:tc>
      </w:tr>
      <w:tr>
        <w:trPr>
          <w:trHeight w:val="230"/>
        </w:trPr>
        <w:tc>
          <w:tcPr>
            <w:tcW w:w="82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by reference to Exhibit 4.3 to Westlake's Current Report on Form 8-K, filed on August 10, 2016, File No. 001-32260).</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10.14</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Registration Rights Agreement, dated as of September 7, 2016, among Westlake Chemical Corporation, the Guarantors (as defined therein)</w:t>
            </w:r>
          </w:p>
        </w:tc>
      </w:tr>
      <w:tr>
        <w:trPr>
          <w:trHeight w:val="216"/>
        </w:trPr>
        <w:tc>
          <w:tcPr>
            <w:tcW w:w="82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and Deutsche Bank Securities Inc. and Goldman Sachs &amp; Co., as dealer managers (incorporated by reference to Exhibit 4.3 to Westlake's</w:t>
            </w:r>
          </w:p>
        </w:tc>
      </w:tr>
      <w:tr>
        <w:trPr>
          <w:trHeight w:val="230"/>
        </w:trPr>
        <w:tc>
          <w:tcPr>
            <w:tcW w:w="82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Current Report on Form 8-K, filed on September 7, 2016, File No. 001-32260).</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tcPr>
          <w:p>
            <w:pPr>
              <w:ind w:left="380"/>
              <w:spacing w:after="0"/>
              <w:rPr>
                <w:sz w:val="20"/>
                <w:szCs w:val="20"/>
                <w:color w:val="auto"/>
              </w:rPr>
            </w:pPr>
            <w:r>
              <w:rPr>
                <w:rFonts w:ascii="Arial" w:cs="Arial" w:eastAsia="Arial" w:hAnsi="Arial"/>
                <w:sz w:val="18"/>
                <w:szCs w:val="18"/>
                <w:color w:val="auto"/>
                <w:w w:val="92"/>
              </w:rPr>
              <w:t>Commitment Letter, dated June 10, 2016, by and among Westlake Chemical Corporation, Deutsche Bank AG Cayman Islands Branch,</w:t>
            </w:r>
          </w:p>
        </w:tc>
      </w:tr>
      <w:tr>
        <w:trPr>
          <w:trHeight w:val="216"/>
        </w:trPr>
        <w:tc>
          <w:tcPr>
            <w:tcW w:w="88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Deutsche Bank Securities Inc. and Goldman Sachs Bank USA (incorporated by reference to Exhibit 10.1 to Westlake's Current Report on</w:t>
            </w:r>
          </w:p>
        </w:tc>
      </w:tr>
      <w:tr>
        <w:trPr>
          <w:trHeight w:val="230"/>
        </w:trPr>
        <w:tc>
          <w:tcPr>
            <w:tcW w:w="88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Form 8-K, filed on June 14, 2016, File No. 001-32260).</w:t>
            </w:r>
          </w:p>
        </w:tc>
      </w:tr>
      <w:tr>
        <w:trPr>
          <w:trHeight w:val="593"/>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tcPr>
          <w:p>
            <w:pPr>
              <w:ind w:left="380"/>
              <w:spacing w:after="0"/>
              <w:rPr>
                <w:sz w:val="20"/>
                <w:szCs w:val="20"/>
                <w:color w:val="auto"/>
              </w:rPr>
            </w:pPr>
            <w:r>
              <w:rPr>
                <w:rFonts w:ascii="Arial" w:cs="Arial" w:eastAsia="Arial" w:hAnsi="Arial"/>
                <w:sz w:val="18"/>
                <w:szCs w:val="18"/>
                <w:color w:val="auto"/>
                <w:w w:val="89"/>
              </w:rPr>
              <w:t>Westlake Chemical Corporation 2013 Omnibus Incentive Plan (as amended and restated as of May 17, 2013) (incorporated by reference to</w:t>
            </w:r>
          </w:p>
        </w:tc>
      </w:tr>
      <w:tr>
        <w:trPr>
          <w:trHeight w:val="230"/>
        </w:trPr>
        <w:tc>
          <w:tcPr>
            <w:tcW w:w="88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May 22, 2013, File No.1-32260).</w:t>
            </w:r>
          </w:p>
        </w:tc>
      </w:tr>
    </w:tbl>
    <w:p>
      <w:pPr>
        <w:spacing w:after="0" w:line="200" w:lineRule="exact"/>
        <w:rPr>
          <w:sz w:val="20"/>
          <w:szCs w:val="20"/>
          <w:color w:val="auto"/>
        </w:rPr>
      </w:pPr>
    </w:p>
    <w:p>
      <w:pPr>
        <w:sectPr>
          <w:pgSz w:w="11900" w:h="16838" w:orient="portrait"/>
          <w:cols w:equalWidth="0" w:num="1">
            <w:col w:w="11380"/>
          </w:cols>
          <w:pgMar w:left="240" w:top="114" w:right="279" w:bottom="269"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380"/>
          </w:cols>
          <w:pgMar w:left="240" w:top="114" w:right="279" w:bottom="269"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1"/>
              </w:rPr>
              <w:t>Form of Stock Option Award Letter for Special February 2007 Awards (incorporated by reference to Westlake's Current Report on Form 8-</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K, filed on March 1,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Westlake Chemical Corporation Amended and Restated Annual Incentive Plan adopted by the Compensation Committee of the Board of</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3"/>
              </w:rPr>
              <w:t>Directors on March 24, 2011 (incorporated by reference to Westlake's Quarterly Report on Form 10-Q for the quarter ended March 31,</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2011, filed on May 4, 2011,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Form of Restricted Stock Units Award Letter effective as of February 15, 2013 (incorporated by reference to Exhibit 10.29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Annual Report on 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Form of Stock Option Award Letter for 2015 Executive Officer Awards (incorporated by reference to Exhibit 10.3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3"/>
              </w:rPr>
              <w:t>Form of Restricted Stock Units Award Letter for 2015 Executive Officer Awards (incorporated by reference to Exhibit 10.4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Quarterly 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5"/>
              </w:rPr>
              <w:t>Form of Long-Term Cash Performance Award Letter for 2015 Executive Officer Awards (incorporated by reference to Exhibit 10.5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Westlake's Quarterly Report on Form 10-Q for the quarter ended March 31, 2015, File No. 1-32260).</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12.1†</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5"/>
              </w:rPr>
              <w:t>Statement of computation of ratio of earnings to fixed charges for the years ended December 31, 2016, 2015, 2014, 2013 and 2012</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21†</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Subsidiaries of Westlake.</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23.1†</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31.1†</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Executive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31.2†</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32.1†</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113" w:right="3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CORPORATION</w:t>
      </w:r>
    </w:p>
    <w:p>
      <w:pPr>
        <w:spacing w:after="0" w:line="387" w:lineRule="exact"/>
        <w:rPr>
          <w:sz w:val="20"/>
          <w:szCs w:val="20"/>
          <w:color w:val="auto"/>
        </w:rPr>
      </w:pPr>
    </w:p>
    <w:p>
      <w:pPr>
        <w:ind w:left="40"/>
        <w:spacing w:after="0"/>
        <w:tabs>
          <w:tab w:leader="none" w:pos="820" w:val="left"/>
          <w:tab w:leader="none" w:pos="824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Albert Chao, President and Chief Executive Officer</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22" w:right="299" w:bottom="1440" w:gutter="0" w:footer="0" w:header="0"/>
        </w:sectPr>
      </w:pPr>
    </w:p>
    <w:p>
      <w:pPr>
        <w:spacing w:after="0" w:line="284"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 Steven Bender</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J. M</w:t>
      </w:r>
      <w:r>
        <w:rPr>
          <w:rFonts w:ascii="Arial" w:cs="Arial" w:eastAsia="Arial" w:hAnsi="Arial"/>
          <w:sz w:val="13"/>
          <w:szCs w:val="13"/>
          <w:color w:val="auto"/>
        </w:rPr>
        <w:t>ANGIERI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George J. Mangieri</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James Chao</w:t>
      </w:r>
    </w:p>
    <w:p>
      <w:pPr>
        <w:spacing w:after="0" w:line="199"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OBERT</w:t>
      </w:r>
      <w:r>
        <w:rPr>
          <w:rFonts w:ascii="Arial" w:cs="Arial" w:eastAsia="Arial" w:hAnsi="Arial"/>
          <w:sz w:val="17"/>
          <w:szCs w:val="17"/>
          <w:color w:val="auto"/>
        </w:rPr>
        <w:t xml:space="preserve"> T. B</w:t>
      </w:r>
      <w:r>
        <w:rPr>
          <w:rFonts w:ascii="Arial" w:cs="Arial" w:eastAsia="Arial" w:hAnsi="Arial"/>
          <w:sz w:val="13"/>
          <w:szCs w:val="13"/>
          <w:color w:val="auto"/>
        </w:rPr>
        <w:t>LAKELY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Robert T. Blakely</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J. G</w:t>
      </w:r>
      <w:r>
        <w:rPr>
          <w:rFonts w:ascii="Arial" w:cs="Arial" w:eastAsia="Arial" w:hAnsi="Arial"/>
          <w:sz w:val="13"/>
          <w:szCs w:val="13"/>
          <w:color w:val="auto"/>
        </w:rPr>
        <w:t>RAFF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Michael J. Graff</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OROTHY</w:t>
      </w:r>
      <w:r>
        <w:rPr>
          <w:rFonts w:ascii="Arial" w:cs="Arial" w:eastAsia="Arial" w:hAnsi="Arial"/>
          <w:sz w:val="17"/>
          <w:szCs w:val="17"/>
          <w:color w:val="auto"/>
        </w:rPr>
        <w:t xml:space="preserve"> C. J</w:t>
      </w:r>
      <w:r>
        <w:rPr>
          <w:rFonts w:ascii="Arial" w:cs="Arial" w:eastAsia="Arial" w:hAnsi="Arial"/>
          <w:sz w:val="13"/>
          <w:szCs w:val="13"/>
          <w:color w:val="auto"/>
        </w:rPr>
        <w:t>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Dorothy C. Jenkins</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Max L. Lukens</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B</w:t>
      </w:r>
      <w:r>
        <w:rPr>
          <w:rFonts w:ascii="Arial" w:cs="Arial" w:eastAsia="Arial" w:hAnsi="Arial"/>
          <w:sz w:val="13"/>
          <w:szCs w:val="13"/>
          <w:color w:val="auto"/>
        </w:rPr>
        <w:t>RUCE</w:t>
      </w:r>
      <w:r>
        <w:rPr>
          <w:rFonts w:ascii="Arial" w:cs="Arial" w:eastAsia="Arial" w:hAnsi="Arial"/>
          <w:sz w:val="17"/>
          <w:szCs w:val="17"/>
          <w:color w:val="auto"/>
        </w:rPr>
        <w:t xml:space="preserve"> N</w:t>
      </w:r>
      <w:r>
        <w:rPr>
          <w:rFonts w:ascii="Arial" w:cs="Arial" w:eastAsia="Arial" w:hAnsi="Arial"/>
          <w:sz w:val="13"/>
          <w:szCs w:val="13"/>
          <w:color w:val="auto"/>
        </w:rPr>
        <w:t>ORTHCUTT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R. Bruce Northcutt</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 J</w:t>
      </w:r>
      <w:r>
        <w:rPr>
          <w:rFonts w:ascii="Arial" w:cs="Arial" w:eastAsia="Arial" w:hAnsi="Arial"/>
          <w:sz w:val="13"/>
          <w:szCs w:val="13"/>
          <w:color w:val="auto"/>
        </w:rPr>
        <w:t>OHN</w:t>
      </w:r>
      <w:r>
        <w:rPr>
          <w:rFonts w:ascii="Arial" w:cs="Arial" w:eastAsia="Arial" w:hAnsi="Arial"/>
          <w:sz w:val="17"/>
          <w:szCs w:val="17"/>
          <w:color w:val="auto"/>
        </w:rPr>
        <w:t xml:space="preserve"> R</w:t>
      </w:r>
      <w:r>
        <w:rPr>
          <w:rFonts w:ascii="Arial" w:cs="Arial" w:eastAsia="Arial" w:hAnsi="Arial"/>
          <w:sz w:val="13"/>
          <w:szCs w:val="13"/>
          <w:color w:val="auto"/>
        </w:rPr>
        <w:t>ILEY</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H. John Riley, Jr.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40" w:right="980" w:hanging="134"/>
        <w:spacing w:after="0" w:line="342" w:lineRule="auto"/>
        <w:rPr>
          <w:sz w:val="20"/>
          <w:szCs w:val="20"/>
          <w:color w:val="auto"/>
        </w:rPr>
      </w:pPr>
      <w:r>
        <w:rPr>
          <w:rFonts w:ascii="Arial" w:cs="Arial" w:eastAsia="Arial" w:hAnsi="Arial"/>
          <w:sz w:val="16"/>
          <w:szCs w:val="16"/>
          <w:color w:val="auto"/>
        </w:rPr>
        <w:t>Senior Vice President, Chief Financial Officer and Treasurer (Principal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Accounting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344" w:lineRule="exact"/>
        <w:rPr>
          <w:sz w:val="20"/>
          <w:szCs w:val="20"/>
          <w:color w:val="auto"/>
        </w:rPr>
      </w:pPr>
    </w:p>
    <w:p>
      <w:pPr>
        <w:sectPr>
          <w:pgSz w:w="11900" w:h="16838" w:orient="portrait"/>
          <w:cols w:equalWidth="0" w:num="3">
            <w:col w:w="4000" w:space="720"/>
            <w:col w:w="4300" w:space="720"/>
            <w:col w:w="1620"/>
          </w:cols>
          <w:pgMar w:left="240" w:top="122" w:right="299" w:bottom="1440" w:gutter="0" w:footer="0" w:header="0"/>
          <w:type w:val="continuous"/>
        </w:sect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360"/>
          </w:cols>
          <w:pgMar w:left="240" w:top="122" w:right="299" w:bottom="1440" w:gutter="0" w:footer="0" w:header="0"/>
          <w:type w:val="continuous"/>
        </w:sectPr>
      </w:pPr>
    </w:p>
    <w:bookmarkStart w:id="127" w:name="page128"/>
    <w:bookmarkEnd w:id="1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10640" w:type="dxa"/>
            <w:vAlign w:val="bottom"/>
            <w:gridSpan w:val="3"/>
          </w:tcPr>
          <w:p>
            <w:pPr>
              <w:ind w:left="5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371"/>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Share Purchase Agreement dated as of May 28, 2014 by and among Westlake Germany GmbH &amp; Co. KG and various entities associated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with Advent International Corporation (incorporated by reference to Westlake's Quarterly Report on Form 10-Q for the quarter ended June</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30, 2014, filed on August 6, 2014,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2.2</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Agreement and Plan of Merger, dated June 10, 2016, by and among Westlake Chemical Corporation, Lagoon Merger Sub, Inc. and Axiall</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Corporation (incorporated by reference to Exhibit 2.1 to Westlake's Current Report on Form 8-K, filed on June 14, 2016, File No. 001-</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5"/>
              </w:rPr>
              <w:t>Certificate of Incorporation of Westlake as filed with the Delaware Secretary of State on August 6, 2004 (incorporated by reference to</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Westlake's Registration Statement on Form S-1/A, filed on August 9, 2004).</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3"/>
              </w:rPr>
              <w:t>Certificate of Amendment to the Amended and Restated Certificate of Incorporation of Westlake as filed with the Delaware Secretary of</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State on May 16, 2014 (incorporated by reference to Westlake's Current Report on Form 8-K, filed on May 16, 2014, File No. 001-32260).</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Bylaws of Westlake (incorporated by reference to Westlake's Registration Statement on Form S-1/A, filed on August 9, 2004).</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January 1, 2006 by and among Westlake, the potential subsidiary guarantors listed therein and JPMorgan Chase Bank,</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8"/>
              </w:rPr>
              <w:t>National Association, as trustee (incorporated by reference to Westlake's Current Report on Form 8-K, filed on January 13, 2006,</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Second Supplemental Indenture, dated as of November 1, 2007, among the Company, the Subsidiary Guarantors (as defined therein) and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The Bank of New York Trust Company, N.A., as trustee (incorporated by reference to Westlake's Current Report on Form 8-K, filed on</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18, 2007,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Third Supplemental Indenture, dated as of July 2, 2010, among the Company, the Subsidiary Guarantors (as defined therein) and The Bank</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of New York Mellon Trust Company, N.A., as trustee (incorporated by reference to Westlake's Current Report on Form 8-K, filed on July 8,</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2010,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Fourth Supplemental Indenture, dated as of December 2, 2010, among the Company, the Subsidiary Guarantors (as defined therein) and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The Bank of New York Mellon Trust Company, N.A., as trustee (incorporated by reference to Westlake's Current Report on Form 8-K, filed</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on December 8, 2010,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0"/>
              </w:rPr>
              <w:t>Fifth Supplemental Indenture, dated as of December 2, 2010, among the Company, the Subsidiary Guarantors (as defined therein) and The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Bank of New York Mellon Trust Company, N.A., as trustee (incorporated by reference to Westlake's Current Report on Form 8-K, filed on</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December 8, 2010,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Supplemental Indenture, dated as of December 31, 2007, among the Company, WPT LLC, Westlake Polymers LLC, Westlake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Petrochemicals LLC, Westlake Styrene LLC, the other subsidiary guarantors party thereto and The Bank of New York Trust Company,</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4"/>
              </w:rPr>
              <w:t>N.A. related to the 6 ¾% senior notes (incorporated by reference to Exhibit 4.7 to Westlake's Annual Report on Form 10-K for the year</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ended December 31, 2007, filed on February 20, 2008,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4.7</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89"/>
              </w:rPr>
              <w:t>Sixth Supplemental Indenture, dated as of July 17, 2012, among the Company, the Subsidiary Guarantors (as defined therein) and The Bank</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of New York Mellon Trust Company, N.A., as trustee (incorporated by reference to Exhibit 4.2 to the Company's Current Report on Form</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8-K, filed with the Securities and Exchange Commission on July 16, 2012,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4.8</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1"/>
              </w:rPr>
              <w:t>Seventh Supplemental Indenture, dated as of February 12, 2013, among the Company, the Subsidiary Guarantors (as defined therein) and</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The Bank of New York Mellon Trust Company, N.A., as trustee (incorporated by reference to Exhibit 4.16 to Westlake's Annual Report on</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Form 10-K for the year ended December 31, 2012, filed on February 22, 2013, File No. 1-32260).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4.9</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3"/>
              </w:rPr>
              <w:t>Supplemental Indenture, dated as of May 1, 2013, among North American Specialty Products LLC, a Delaware limited liability company,</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3"/>
              </w:rPr>
              <w:t>the Company, the other Subsidiary Guarantors (as defined therein) and The Bank of New York Mellon Trust Company, N.A., as trustee</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(incorporated by reference to Exhibit 4.2 to Westlake's Current Report on Form 8-K, filed on July 31, 2013, File No. 1-32260).</w:t>
            </w: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4.10</w:t>
            </w: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Supplemental Indenture, dated as of June 1, 2013, among Westlake Pipeline Investments LLC, a Delaware limited liability company, the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6"/>
              </w:rPr>
              <w:t>Company, the other Subsidiary Guarantors (as defined therein) and The Bank of New York Mellon Trust Company, N.A., as trustee</w:t>
            </w:r>
          </w:p>
        </w:tc>
      </w:tr>
      <w:tr>
        <w:trPr>
          <w:trHeight w:val="216"/>
        </w:trPr>
        <w:tc>
          <w:tcPr>
            <w:tcW w:w="700" w:type="dxa"/>
            <w:vAlign w:val="bottom"/>
          </w:tcPr>
          <w:p>
            <w:pPr>
              <w:spacing w:after="0"/>
              <w:rPr>
                <w:sz w:val="18"/>
                <w:szCs w:val="18"/>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w w:val="92"/>
              </w:rPr>
              <w:t>(incorporated by reference to Exhibit 4.3 to Westlake's Quarterly Report on Form 10-Q for the quarter ended June 30, 2013, and filed on</w:t>
            </w:r>
          </w:p>
        </w:tc>
      </w:tr>
      <w:tr>
        <w:trPr>
          <w:trHeight w:val="230"/>
        </w:trPr>
        <w:tc>
          <w:tcPr>
            <w:tcW w:w="700" w:type="dxa"/>
            <w:vAlign w:val="bottom"/>
          </w:tcPr>
          <w:p>
            <w:pPr>
              <w:spacing w:after="0"/>
              <w:rPr>
                <w:sz w:val="20"/>
                <w:szCs w:val="20"/>
                <w:color w:val="auto"/>
              </w:rPr>
            </w:pPr>
          </w:p>
        </w:tc>
        <w:tc>
          <w:tcPr>
            <w:tcW w:w="10640" w:type="dxa"/>
            <w:vAlign w:val="bottom"/>
            <w:gridSpan w:val="3"/>
          </w:tcPr>
          <w:p>
            <w:pPr>
              <w:ind w:left="560"/>
              <w:spacing w:after="0"/>
              <w:rPr>
                <w:sz w:val="20"/>
                <w:szCs w:val="20"/>
                <w:color w:val="auto"/>
              </w:rPr>
            </w:pPr>
            <w:r>
              <w:rPr>
                <w:rFonts w:ascii="Arial" w:cs="Arial" w:eastAsia="Arial" w:hAnsi="Arial"/>
                <w:sz w:val="18"/>
                <w:szCs w:val="18"/>
                <w:color w:val="auto"/>
              </w:rPr>
              <w:t>July 31, 2013, File No. 1-32260).</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80"/>
          </w:cols>
          <w:pgMar w:left="240" w:top="121" w:right="27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4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dated as of June 1, 2013, among Westlake NG IV Corporation, a Delaware corporation, and Westlake NG V</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Corporation, a Delaware corporation, the Company, the other Subsidiary Guarantors (as defined therein) and The Bank of New York</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4"/>
              </w:rPr>
              <w:t>Mellon Trust Company, N.A., as trustee (incorporated by reference to Exhibit 4.4 to Westlake's Quarterly Report on Form 10-Q for the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quarter ended June 30, 2013, and filed on July 31,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0"/>
              </w:rPr>
              <w:t>Supplemental Indenture dated as of July 17, 2014 among Westlake Chemical OpCo, LP, the Company, the other Subsidiary Guarantors (as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defined therein) and The Bank of New York Mellon Trust Company, N.A., as trustee (incorporated by reference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June 30, 2014, filed on August 6, 2014,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Eighth Supplemental Indenture (including the form of the Notes), dated as of August 10, 2016, among Westlake Chemical Corporation,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2"/>
              </w:rPr>
              <w:t>Guarantors (as defined therein) and The Bank of New York Mellon Trust Company, N.A., as trustee (incorporated by reference to Exhibit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4.2 to Westlake's Current Report on Form 8-K, filed on August 10, 2016,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7"/>
              </w:rPr>
              <w:t>Fourth Supplemental Indenture, dated as of August 22, 2016, to the Indenture, dated as of February 1, 2013, by and among Axiall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Corporation, the guarantors party thereto and U.S. Bank National Association, as trustee (incorporated by reference to Exhibit 4.1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Axiall's Current Report on Form 8-K, filed on August 22, 2016, File No. 001-09753).</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Fifth Supplemental Indenture, dated as of August 22, 2016, to the Indenture, dated as of January 28, 2013, by and among Eagles Spinco,</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In., the guarantors party thereto and U.S. Bank National Association, as trustee (incorporated by reference to Exhibit 4.2 to Axiall's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August 22, 2016, File No. 001-09753).</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4"/>
              </w:rPr>
              <w:t>Ninth Supplemental Indenture (including the form of the Notes) as of September 7, 2016, among Westlake Chemical Corporation, the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Guarantors (as defined therein) and the Bank of New York Mellon Trust Company, N.A., as trustee (incorporated by reference to Exhibit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4.2 to Westlake's Current Report on Form 8-K, filed on September 7, 2016,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4"/>
              </w:rPr>
              <w:t>Indenture dated as of September 8, 2016 by and among Westlake and The Bank of New York Mellon Trust Company, N.A., as trustee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4"/>
              </w:rPr>
              <w:t>(incorporated by reference to Exhibit 4.4 to Westlake's Registration Statement on Form S-3, filed on September 8, 2016, File No. 333-</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213548).</w:t>
            </w:r>
          </w:p>
        </w:tc>
      </w:tr>
      <w:tr>
        <w:trPr>
          <w:trHeight w:val="377"/>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4.18†</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2"/>
              </w:rPr>
              <w:t>Supplemental Indenture, dated as of October 25, 2016, among the Company, the Guaranteeing subsidiaries (as defined therein) and the</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other subsidiary guarantors (as defined therein) and the Bank of New York Mellon Trust Company, as trustee.</w:t>
            </w:r>
          </w:p>
        </w:tc>
      </w:tr>
      <w:tr>
        <w:trPr>
          <w:trHeight w:val="3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Westlake and its subsidiaries are party to other long-term debt instruments not filed herewith under which the total amount of securities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0"/>
              </w:rPr>
              <w:t>authorized does not exceed 10% of the total assets of Westlake and its subsidiaries on a consolidated basis. Pursuant to paragraph 4(iii)(A)</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of Item 601(b) of Regulation S-K, Westlake agrees to furnish a copy of such instruments to the SEC upon request.</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Third Amended and Restated Credit Agreement dated as of July 17, 2014 by and among the financial institutions party thereto, as lenders,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2"/>
              </w:rPr>
              <w:t>Bank of America, N.A., as agent, and Westlake Chemical Corporation and certain of its domestic subsidiaries, as borrowers, relating to a</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$400.0 million senior secured revolving credit facility (incorporated by reference to Westlake's Current Report on Form 8-K, filed on July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17, 2014,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5"/>
              </w:rPr>
              <w:t>Borrower Joinder Agreement, dated as of May 1, 2013, between North American Specialty Products LLC, a Delaware limited liability</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company, the Existing Borrowers (as defined therein) and Bank of America, N.A., as administrative agent (incorporated by reference to</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3"/>
              </w:rPr>
              <w:t>Exhibit 4.1 to Westlake's Quarterly Report on Form 10-Q for the quarter ended on June 30, 2013, and filed on July 31, 2013, File No. 1-</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6"/>
              </w:rPr>
              <w:t>Credit Agreement, dated as of August 10, 2016, by and between Bank of America, N.A. and Westlake International Holdings II C.V.</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(incorporated by reference to Exhibit 10.3 to Westlake's Quarterly Report on Form 10-Q for the quarter ended on September 30, 2016, and</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filed on November 9, 2016, File No. 001-32260).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89"/>
              </w:rPr>
              <w:t>Credit Agreement, dated as of August 23, 2016, by and among Westlake Chemical Corporation, the other borrowers and guarantors referred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to therein, the lenders from time to time party thereto, the issuing banks party thereto and JPMorgan Chase Bank, National Association, as</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8"/>
              </w:rPr>
              <w:t>Administrative Agent, relating to a $1 billion senior unsecured revolving credit facility (incorporated by reference to Exhibit 10.1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Westlake's Current Report on Form 8-K, filed on August 24, 2016, File No. 001-32260).</w:t>
            </w:r>
          </w:p>
        </w:tc>
      </w:tr>
      <w:tr>
        <w:trPr>
          <w:trHeight w:val="60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3"/>
          </w:tcPr>
          <w:p>
            <w:pPr>
              <w:ind w:left="442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380"/>
          </w:cols>
          <w:pgMar w:left="240" w:top="114" w:right="27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420" w:type="dxa"/>
            <w:vAlign w:val="bottom"/>
            <w:gridSpan w:val="2"/>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6"/>
              </w:rPr>
              <w:t>Joinder Agreement, dated as of October 14, 2016, among JPMorgan Chase Bank, N.A., as Administrative Agent, and certain new</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guarantors (as defined therein).</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4"/>
              </w:rPr>
              <w:t>Loan Agreement, dated as of November 1, 2007,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8"/>
              </w:rPr>
              <w:t>Facilities and Community Development Authority (incorporated by reference to Westlake's Current Report on Form 8-K, filed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December 18,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Amended and Restated Loan Agreement, dated as of July 2, 2010, by and between the Company and the Louisiana Local Government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3"/>
              </w:rPr>
              <w:t>Environmental Facilities and Community Development Authority (incorporated by reference to Westlake's Current Report on Form 8-K,</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filed on July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4"/>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Facilities and Community Development Authority, relating to the 2035 GO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4"/>
              </w:rPr>
              <w:t>Loan Agreement, dated as of November 1, 2010, by and between the Company and the Louisiana Local Government Environmental</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Facilities and Community Development Authority, relating to the 2035 IKE Zone Notes (incorporated by reference to Westlake's Current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December 8, 2010,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9"/>
              </w:rPr>
              <w:t>Senior Unsecured Revolving Credit Agreement between Westlake Chemical OpCo LP and Westlake Development Corporation</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(incorporated by reference to Exhibit 10.13 to Westlake Chemical Partners LP's Registration Statement on Form S-1/A, filed on June 30,</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2014, File No. 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4"/>
              </w:rPr>
              <w:t>Senior Unsecured Revolving Credit Agreement by and among Westlake Chemical Partners GP LLC and Westlake Chemical Finance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Corporation, dated as of April 29, 2015 (incorporated by reference to Exhibit 10.1 to Westlake Chemical Partners LP's Current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Form 8-K filed on April 30, 2015, File No. 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1"/>
              </w:rPr>
              <w:t>Form of Registration Rights Agreement between Westlake and TTWF LP (incorporated by reference to Westlake's Registration Statement</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on Form S-1/A, filed on July 2, 2004).</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1"/>
              </w:rPr>
              <w:t>Registration Rights Agreement, dated as of August 10, 2016, among Westlake Chemical Corporation, the Guarantors (as defined therein)</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89"/>
              </w:rPr>
              <w:t>and Deutsche Bank Securities Inc. and Goldman Sachs &amp; Co., as representatives of the Initial Purchasers (as defined therein) (incorporated</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by reference to Exhibit 4.3 to Westlake's Current Report on Form 8-K, filed on August 10, 2016, File No. 001-32260).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89"/>
              </w:rPr>
              <w:t>Registration Rights Agreement, dated as of September 7, 2016, among Westlake Chemical Corporation, the Guarantors (as defined therein)</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0"/>
              </w:rPr>
              <w:t>and Deutsche Bank Securities Inc. and Goldman Sachs &amp; Co., as dealer managers (incorporated by reference to Exhibit 4.3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Current Report on Form 8-K, filed on September 7, 2016, File No. 001-32260).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3"/>
              </w:rPr>
              <w:t>Commitment Letter, dated June 10, 2016, by and among Westlake Chemical Corporation, Deutsche Bank AG Cayman Islands Branch,</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1"/>
              </w:rPr>
              <w:t>Deutsche Bank Securities Inc. and Goldman Sachs Bank USA (incorporated by reference to Exhibit 10.1 to Westlake's Current Report on</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Form 8-K, filed on June 14, 2016, File No. 001-32260).</w:t>
            </w:r>
          </w:p>
        </w:tc>
      </w:tr>
      <w:tr>
        <w:trPr>
          <w:trHeight w:val="593"/>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0"/>
              </w:rPr>
              <w:t>Westlake Chemical Corporation 2013 Omnibus Incentive Plan (as amended and restated as of May 17, 2013) (incorporated by reference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Exhibit 10.1 to the Company's Current Report on Form 8-K filed on May 22, 2013, File No.1-32260).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1"/>
              </w:rPr>
              <w:t>Form of Stock Option Award Letter for Special February 2007 Awards (incorporated by reference to Westlake's Current Report on Form 8-</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K, filed on March 1, 2007,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Westlake Chemical Corporation Amended and Restated Annual Incentive Plan adopted by the Compensation Committee of the Board of</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3"/>
              </w:rPr>
              <w:t>Directors on March 24, 2011 (incorporated by reference to Westlake's Quarterly Report on Form 10-Q for the quarter ended March 31,</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2011, filed on May 4, 2011,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Form of Restricted Stock Units Award Letter effective as of February 15, 2013 (incorporated by reference to Exhibit 10.29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Annual Report on Form 10-K for the year ended December 31, 2012, filed on February 22, 2013,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w w:val="92"/>
              </w:rPr>
              <w:t>Form of Stock Option Award Letter for 2015 Executive Officer Awards (incorporated by reference to Exhibit 10.3 to Westlake's Quarterly</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gridSpan w:val="3"/>
          </w:tcPr>
          <w:p>
            <w:pPr>
              <w:ind w:left="140"/>
              <w:spacing w:after="0"/>
              <w:rPr>
                <w:sz w:val="20"/>
                <w:szCs w:val="20"/>
                <w:color w:val="auto"/>
              </w:rPr>
            </w:pPr>
            <w:r>
              <w:rPr>
                <w:rFonts w:ascii="Arial" w:cs="Arial" w:eastAsia="Arial" w:hAnsi="Arial"/>
                <w:sz w:val="18"/>
                <w:szCs w:val="18"/>
                <w:color w:val="auto"/>
              </w:rPr>
              <w:t>Report on Form 10-Q for the quarter ended March 31, 2015, File No. 1-32260).</w:t>
            </w:r>
          </w:p>
        </w:tc>
      </w:tr>
    </w:tbl>
    <w:p>
      <w:pPr>
        <w:spacing w:after="0" w:line="200" w:lineRule="exact"/>
        <w:rPr>
          <w:sz w:val="20"/>
          <w:szCs w:val="20"/>
          <w:color w:val="auto"/>
        </w:rPr>
      </w:pPr>
    </w:p>
    <w:p>
      <w:pPr>
        <w:sectPr>
          <w:pgSz w:w="11900" w:h="16838" w:orient="portrait"/>
          <w:cols w:equalWidth="0" w:num="1">
            <w:col w:w="11320"/>
          </w:cols>
          <w:pgMar w:left="240" w:top="114" w:right="339" w:bottom="1440" w:gutter="0" w:footer="0" w:header="0"/>
        </w:sectPr>
      </w:pP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320"/>
          </w:cols>
          <w:pgMar w:left="240" w:top="114"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20" w:type="dxa"/>
            <w:vAlign w:val="bottom"/>
          </w:tcPr>
          <w:p>
            <w:pPr>
              <w:spacing w:after="0"/>
              <w:rPr>
                <w:sz w:val="14"/>
                <w:szCs w:val="14"/>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w w:val="91"/>
              </w:rPr>
              <w:t>Form of Restricted Stock Units Award Letter for 2015 Executive Officer Awards (incorporated by reference to Exhibit 10.4 to Westlake's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Quarterly Report on Form 10-Q for the quarter ended March 31, 2015, File No. 1-32260).</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w w:val="93"/>
              </w:rPr>
              <w:t>Form of Long-Term Cash Performance Award Letter for 2015 Executive Officer Awards (incorporated by reference to Exhibit 10.5 to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Westlake's Quarterly Report on Form 10-Q for the quarter ended March 31, 2015, File No. 1-32260).</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12.1†</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w w:val="94"/>
              </w:rPr>
              <w:t>Statement of computation of ratio of earnings to fixed charges for the years ended December 31, 2016, 2015, 2014, 2013 and 2012</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21†</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Subsidiaries of Westlake.</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23.1†</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31.1†</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Executive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31.2†</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Rule 13a-14(a) / 15d-14(a) Certification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32.1†</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113" w:right="49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4.18</w:t>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SUPPLEMENTAL INDENTURE</w:t>
      </w:r>
    </w:p>
    <w:p>
      <w:pPr>
        <w:spacing w:after="0" w:line="216" w:lineRule="exact"/>
        <w:rPr>
          <w:sz w:val="20"/>
          <w:szCs w:val="20"/>
          <w:color w:val="auto"/>
        </w:rPr>
      </w:pPr>
    </w:p>
    <w:p>
      <w:pPr>
        <w:ind w:right="120" w:firstLine="4214"/>
        <w:spacing w:after="0" w:line="302" w:lineRule="auto"/>
        <w:rPr>
          <w:sz w:val="20"/>
          <w:szCs w:val="20"/>
          <w:color w:val="auto"/>
        </w:rPr>
      </w:pPr>
      <w:r>
        <w:rPr>
          <w:rFonts w:ascii="Arial" w:cs="Arial" w:eastAsia="Arial" w:hAnsi="Arial"/>
          <w:sz w:val="16"/>
          <w:szCs w:val="16"/>
          <w:color w:val="auto"/>
        </w:rPr>
        <w:t xml:space="preserve">SUPPLEMENTAL INDENTURE (this “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October 25, 2016, among the entities listed in Annex A (the “</w:t>
      </w:r>
      <w:r>
        <w:rPr>
          <w:rFonts w:ascii="Arial" w:cs="Arial" w:eastAsia="Arial" w:hAnsi="Arial"/>
          <w:sz w:val="16"/>
          <w:szCs w:val="16"/>
          <w:i w:val="1"/>
          <w:iCs w:val="1"/>
          <w:color w:val="auto"/>
        </w:rPr>
        <w:t>Guaranteeing Subsidiaries”</w:t>
      </w:r>
      <w:r>
        <w:rPr>
          <w:rFonts w:ascii="Arial" w:cs="Arial" w:eastAsia="Arial" w:hAnsi="Arial"/>
          <w:sz w:val="16"/>
          <w:szCs w:val="16"/>
          <w:color w:val="auto"/>
        </w:rPr>
        <w:t xml:space="preserve">), Westlake Chemical Corporation, a Delaware corporation (the “ </w:t>
      </w:r>
      <w:r>
        <w:rPr>
          <w:rFonts w:ascii="Arial" w:cs="Arial" w:eastAsia="Arial" w:hAnsi="Arial"/>
          <w:sz w:val="16"/>
          <w:szCs w:val="16"/>
          <w:i w:val="1"/>
          <w:iCs w:val="1"/>
          <w:color w:val="auto"/>
        </w:rPr>
        <w:t>Company”</w:t>
      </w:r>
      <w:r>
        <w:rPr>
          <w:rFonts w:ascii="Arial" w:cs="Arial" w:eastAsia="Arial" w:hAnsi="Arial"/>
          <w:sz w:val="16"/>
          <w:szCs w:val="16"/>
          <w:color w:val="auto"/>
        </w:rPr>
        <w:t>), the other Subsidiary Guarantors (as defined in the Indenture referred to below and listed on the signature pages hereto) and The Bank of New York Mellon Trust Company, N.A. (as successor to JPMorgan Chase Bank, National Association),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85"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WHEREAS, the Company and the Subsidiary Guarantors have heretofore executed and delivered to the Trustee an indenture dated as of January 1, 2006, as supplemented by that certain Second Supplemental Indenture dated as of November 1, 2007 (the “</w:t>
      </w:r>
      <w:r>
        <w:rPr>
          <w:rFonts w:ascii="Arial" w:cs="Arial" w:eastAsia="Arial" w:hAnsi="Arial"/>
          <w:sz w:val="16"/>
          <w:szCs w:val="16"/>
          <w:i w:val="1"/>
          <w:iCs w:val="1"/>
          <w:color w:val="auto"/>
        </w:rPr>
        <w:t>Second Supplemental Indenture”</w:t>
      </w:r>
      <w:r>
        <w:rPr>
          <w:rFonts w:ascii="Arial" w:cs="Arial" w:eastAsia="Arial" w:hAnsi="Arial"/>
          <w:sz w:val="16"/>
          <w:szCs w:val="16"/>
          <w:color w:val="auto"/>
        </w:rPr>
        <w:t xml:space="preserve">) providing for the issuance of the Company’s 6¾% Senior Notes due 2032 (the “ </w:t>
      </w:r>
      <w:r>
        <w:rPr>
          <w:rFonts w:ascii="Arial" w:cs="Arial" w:eastAsia="Arial" w:hAnsi="Arial"/>
          <w:sz w:val="16"/>
          <w:szCs w:val="16"/>
          <w:i w:val="1"/>
          <w:iCs w:val="1"/>
          <w:color w:val="auto"/>
        </w:rPr>
        <w:t>6¾% Senior Notes”</w:t>
      </w:r>
      <w:r>
        <w:rPr>
          <w:rFonts w:ascii="Arial" w:cs="Arial" w:eastAsia="Arial" w:hAnsi="Arial"/>
          <w:sz w:val="16"/>
          <w:szCs w:val="16"/>
          <w:color w:val="auto"/>
        </w:rPr>
        <w:t>), that certain Supplemental Indenture dated as of December 31, 2007, related to the 6¾% Senior Notes, that certain Third Supplemental Indenture dated as of July 2, 2010 (the “</w:t>
      </w:r>
      <w:r>
        <w:rPr>
          <w:rFonts w:ascii="Arial" w:cs="Arial" w:eastAsia="Arial" w:hAnsi="Arial"/>
          <w:sz w:val="16"/>
          <w:szCs w:val="16"/>
          <w:i w:val="1"/>
          <w:iCs w:val="1"/>
          <w:color w:val="auto"/>
        </w:rPr>
        <w:t>Third Supplemental Indenture”</w:t>
      </w:r>
      <w:r>
        <w:rPr>
          <w:rFonts w:ascii="Arial" w:cs="Arial" w:eastAsia="Arial" w:hAnsi="Arial"/>
          <w:sz w:val="16"/>
          <w:szCs w:val="16"/>
          <w:color w:val="auto"/>
        </w:rPr>
        <w:t xml:space="preserve">) providing for the issuance of the Company’s 6.50% Senior Notes due 2029 (the “ </w:t>
      </w:r>
      <w:r>
        <w:rPr>
          <w:rFonts w:ascii="Arial" w:cs="Arial" w:eastAsia="Arial" w:hAnsi="Arial"/>
          <w:sz w:val="16"/>
          <w:szCs w:val="16"/>
          <w:i w:val="1"/>
          <w:iCs w:val="1"/>
          <w:color w:val="auto"/>
        </w:rPr>
        <w:t>6.50% Senior Notes”</w:t>
      </w:r>
      <w:r>
        <w:rPr>
          <w:rFonts w:ascii="Arial" w:cs="Arial" w:eastAsia="Arial" w:hAnsi="Arial"/>
          <w:sz w:val="16"/>
          <w:szCs w:val="16"/>
          <w:color w:val="auto"/>
        </w:rPr>
        <w:t>), that certain Fourth Supplemental Indenture dated as of December 2, 2010 (the “</w:t>
      </w:r>
      <w:r>
        <w:rPr>
          <w:rFonts w:ascii="Arial" w:cs="Arial" w:eastAsia="Arial" w:hAnsi="Arial"/>
          <w:sz w:val="16"/>
          <w:szCs w:val="16"/>
          <w:i w:val="1"/>
          <w:iCs w:val="1"/>
          <w:color w:val="auto"/>
        </w:rPr>
        <w:t>Fourth Supplemental Indenture”</w:t>
      </w:r>
      <w:r>
        <w:rPr>
          <w:rFonts w:ascii="Arial" w:cs="Arial" w:eastAsia="Arial" w:hAnsi="Arial"/>
          <w:sz w:val="16"/>
          <w:szCs w:val="16"/>
          <w:color w:val="auto"/>
        </w:rPr>
        <w:t>) providing for the issuance of the Company’s 6.50% Senior Notes due 2035 (the “</w:t>
      </w:r>
      <w:r>
        <w:rPr>
          <w:rFonts w:ascii="Arial" w:cs="Arial" w:eastAsia="Arial" w:hAnsi="Arial"/>
          <w:sz w:val="16"/>
          <w:szCs w:val="16"/>
          <w:i w:val="1"/>
          <w:iCs w:val="1"/>
          <w:color w:val="auto"/>
        </w:rPr>
        <w:t>6.50% Senior (GO Zone)</w:t>
      </w:r>
      <w:r>
        <w:rPr>
          <w:rFonts w:ascii="Arial" w:cs="Arial" w:eastAsia="Arial" w:hAnsi="Arial"/>
          <w:sz w:val="16"/>
          <w:szCs w:val="16"/>
          <w:color w:val="auto"/>
        </w:rPr>
        <w:t xml:space="preserve"> </w:t>
      </w:r>
      <w:r>
        <w:rPr>
          <w:rFonts w:ascii="Arial" w:cs="Arial" w:eastAsia="Arial" w:hAnsi="Arial"/>
          <w:sz w:val="16"/>
          <w:szCs w:val="16"/>
          <w:i w:val="1"/>
          <w:iCs w:val="1"/>
          <w:color w:val="auto"/>
        </w:rPr>
        <w:t>Notes”</w:t>
      </w:r>
      <w:r>
        <w:rPr>
          <w:rFonts w:ascii="Arial" w:cs="Arial" w:eastAsia="Arial" w:hAnsi="Arial"/>
          <w:sz w:val="16"/>
          <w:szCs w:val="16"/>
          <w:color w:val="auto"/>
        </w:rPr>
        <w:t>), that certain Fifth Supplemental Indenture dated as of December 2, 2010 (the “</w:t>
      </w:r>
      <w:r>
        <w:rPr>
          <w:rFonts w:ascii="Arial" w:cs="Arial" w:eastAsia="Arial" w:hAnsi="Arial"/>
          <w:sz w:val="16"/>
          <w:szCs w:val="16"/>
          <w:i w:val="1"/>
          <w:iCs w:val="1"/>
          <w:color w:val="auto"/>
        </w:rPr>
        <w:t>Fifth Supplemental Indenture”</w:t>
      </w:r>
      <w:r>
        <w:rPr>
          <w:rFonts w:ascii="Arial" w:cs="Arial" w:eastAsia="Arial" w:hAnsi="Arial"/>
          <w:sz w:val="16"/>
          <w:szCs w:val="16"/>
          <w:color w:val="auto"/>
        </w:rPr>
        <w:t>) providing for the issuance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6.50% Senior Notes due 2035 (the “ </w:t>
      </w:r>
      <w:r>
        <w:rPr>
          <w:rFonts w:ascii="Arial" w:cs="Arial" w:eastAsia="Arial" w:hAnsi="Arial"/>
          <w:sz w:val="16"/>
          <w:szCs w:val="16"/>
          <w:i w:val="1"/>
          <w:iCs w:val="1"/>
          <w:color w:val="auto"/>
        </w:rPr>
        <w:t>6.50% Senior (IKE Zone) Notes”</w:t>
      </w:r>
      <w:r>
        <w:rPr>
          <w:rFonts w:ascii="Arial" w:cs="Arial" w:eastAsia="Arial" w:hAnsi="Arial"/>
          <w:sz w:val="16"/>
          <w:szCs w:val="16"/>
          <w:color w:val="auto"/>
        </w:rPr>
        <w:t>), that certain Sixth Supplemental Indenture dated as of July 17, 2012 (the “</w:t>
      </w:r>
      <w:r>
        <w:rPr>
          <w:rFonts w:ascii="Arial" w:cs="Arial" w:eastAsia="Arial" w:hAnsi="Arial"/>
          <w:sz w:val="16"/>
          <w:szCs w:val="16"/>
          <w:i w:val="1"/>
          <w:iCs w:val="1"/>
          <w:color w:val="auto"/>
        </w:rPr>
        <w:t>Sixth Supplemental Indenture”</w:t>
      </w:r>
      <w:r>
        <w:rPr>
          <w:rFonts w:ascii="Arial" w:cs="Arial" w:eastAsia="Arial" w:hAnsi="Arial"/>
          <w:sz w:val="16"/>
          <w:szCs w:val="16"/>
          <w:color w:val="auto"/>
        </w:rPr>
        <w:t>) providing for the issuance of the Company’s 3.600% Senior Notes due 2022 (the “</w:t>
      </w:r>
      <w:r>
        <w:rPr>
          <w:rFonts w:ascii="Arial" w:cs="Arial" w:eastAsia="Arial" w:hAnsi="Arial"/>
          <w:sz w:val="16"/>
          <w:szCs w:val="16"/>
          <w:i w:val="1"/>
          <w:iCs w:val="1"/>
          <w:color w:val="auto"/>
        </w:rPr>
        <w:t>3.600% Senior Notes</w:t>
      </w:r>
      <w:r>
        <w:rPr>
          <w:rFonts w:ascii="Arial" w:cs="Arial" w:eastAsia="Arial" w:hAnsi="Arial"/>
          <w:sz w:val="16"/>
          <w:szCs w:val="16"/>
          <w:color w:val="auto"/>
        </w:rPr>
        <w:t>”), that certain Seventh Supplemental Indenture dated as of February 12, 2013 (the “</w:t>
      </w:r>
      <w:r>
        <w:rPr>
          <w:rFonts w:ascii="Arial" w:cs="Arial" w:eastAsia="Arial" w:hAnsi="Arial"/>
          <w:sz w:val="16"/>
          <w:szCs w:val="16"/>
          <w:i w:val="1"/>
          <w:iCs w:val="1"/>
          <w:color w:val="auto"/>
        </w:rPr>
        <w:t>Seventh Supplemental Indenture</w:t>
      </w:r>
      <w:r>
        <w:rPr>
          <w:rFonts w:ascii="Arial" w:cs="Arial" w:eastAsia="Arial" w:hAnsi="Arial"/>
          <w:sz w:val="16"/>
          <w:szCs w:val="16"/>
          <w:color w:val="auto"/>
        </w:rPr>
        <w:t>”), that certain Supplemental Indenture dated as of May 1, 2013, that certain Supplemental Indenture, dated as of June 1, 2013, related to the 6¾% Senior Notes, that certain Supplemental Indenture, dated as of June 1, 2013, related to the 6¾% Senior Notes and the 6.50% Senior Notes, that certain Supplemental Indenture dated July 17, 2014, that certain Eighth Supplemental Indenture dated as of August 10, 2016 (the “</w:t>
      </w:r>
      <w:r>
        <w:rPr>
          <w:rFonts w:ascii="Arial" w:cs="Arial" w:eastAsia="Arial" w:hAnsi="Arial"/>
          <w:sz w:val="16"/>
          <w:szCs w:val="16"/>
          <w:i w:val="1"/>
          <w:iCs w:val="1"/>
          <w:color w:val="auto"/>
        </w:rPr>
        <w:t>Eighth Supplemental Indenture</w:t>
      </w:r>
      <w:r>
        <w:rPr>
          <w:rFonts w:ascii="Arial" w:cs="Arial" w:eastAsia="Arial" w:hAnsi="Arial"/>
          <w:sz w:val="16"/>
          <w:szCs w:val="16"/>
          <w:color w:val="auto"/>
        </w:rPr>
        <w:t>”) providing for the issuance of the Company’s 3.600% Senior Notes due 2026 (the “</w:t>
      </w:r>
      <w:r>
        <w:rPr>
          <w:rFonts w:ascii="Arial" w:cs="Arial" w:eastAsia="Arial" w:hAnsi="Arial"/>
          <w:sz w:val="16"/>
          <w:szCs w:val="16"/>
          <w:i w:val="1"/>
          <w:iCs w:val="1"/>
          <w:color w:val="auto"/>
        </w:rPr>
        <w:t>3.600% Senior Notes due 2026</w:t>
      </w:r>
      <w:r>
        <w:rPr>
          <w:rFonts w:ascii="Arial" w:cs="Arial" w:eastAsia="Arial" w:hAnsi="Arial"/>
          <w:sz w:val="16"/>
          <w:szCs w:val="16"/>
          <w:color w:val="auto"/>
        </w:rPr>
        <w:t>”) and 5.000% Senior Notes due 2046 (the “</w:t>
      </w:r>
      <w:r>
        <w:rPr>
          <w:rFonts w:ascii="Arial" w:cs="Arial" w:eastAsia="Arial" w:hAnsi="Arial"/>
          <w:sz w:val="16"/>
          <w:szCs w:val="16"/>
          <w:i w:val="1"/>
          <w:iCs w:val="1"/>
          <w:color w:val="auto"/>
        </w:rPr>
        <w:t>5.000% Senior Notes</w:t>
      </w:r>
      <w:r>
        <w:rPr>
          <w:rFonts w:ascii="Arial" w:cs="Arial" w:eastAsia="Arial" w:hAnsi="Arial"/>
          <w:sz w:val="16"/>
          <w:szCs w:val="16"/>
          <w:color w:val="auto"/>
        </w:rPr>
        <w:t>”) and that certain Ninth Supplemental Indenture dated as of September 7, 2016 (the “</w:t>
      </w:r>
      <w:r>
        <w:rPr>
          <w:rFonts w:ascii="Arial" w:cs="Arial" w:eastAsia="Arial" w:hAnsi="Arial"/>
          <w:sz w:val="16"/>
          <w:szCs w:val="16"/>
          <w:i w:val="1"/>
          <w:iCs w:val="1"/>
          <w:color w:val="auto"/>
        </w:rPr>
        <w:t>Ninth Supplemental Indenture</w:t>
      </w:r>
      <w:r>
        <w:rPr>
          <w:rFonts w:ascii="Arial" w:cs="Arial" w:eastAsia="Arial" w:hAnsi="Arial"/>
          <w:sz w:val="16"/>
          <w:szCs w:val="16"/>
          <w:color w:val="auto"/>
        </w:rPr>
        <w:t>”) providing for the issuance of the Company’s 4.625% Senior Notes due 2021 (the “</w:t>
      </w:r>
      <w:r>
        <w:rPr>
          <w:rFonts w:ascii="Arial" w:cs="Arial" w:eastAsia="Arial" w:hAnsi="Arial"/>
          <w:sz w:val="16"/>
          <w:szCs w:val="16"/>
          <w:i w:val="1"/>
          <w:iCs w:val="1"/>
          <w:color w:val="auto"/>
        </w:rPr>
        <w:t>4.625% Senior Notes</w:t>
      </w:r>
      <w:r>
        <w:rPr>
          <w:rFonts w:ascii="Arial" w:cs="Arial" w:eastAsia="Arial" w:hAnsi="Arial"/>
          <w:sz w:val="16"/>
          <w:szCs w:val="16"/>
          <w:color w:val="auto"/>
        </w:rPr>
        <w:t>”) and 4.875% Senior Notes due 2023 (the “</w:t>
      </w:r>
      <w:r>
        <w:rPr>
          <w:rFonts w:ascii="Arial" w:cs="Arial" w:eastAsia="Arial" w:hAnsi="Arial"/>
          <w:sz w:val="16"/>
          <w:szCs w:val="16"/>
          <w:i w:val="1"/>
          <w:iCs w:val="1"/>
          <w:color w:val="auto"/>
        </w:rPr>
        <w:t>4.875% Senior Notes</w:t>
      </w:r>
      <w:r>
        <w:rPr>
          <w:rFonts w:ascii="Arial" w:cs="Arial" w:eastAsia="Arial" w:hAnsi="Arial"/>
          <w:sz w:val="16"/>
          <w:szCs w:val="16"/>
          <w:color w:val="auto"/>
        </w:rPr>
        <w:t>” and together with the other notes defined above, the “</w:t>
      </w:r>
      <w:r>
        <w:rPr>
          <w:rFonts w:ascii="Arial" w:cs="Arial" w:eastAsia="Arial" w:hAnsi="Arial"/>
          <w:sz w:val="16"/>
          <w:szCs w:val="16"/>
          <w:i w:val="1"/>
          <w:iCs w:val="1"/>
          <w:color w:val="auto"/>
        </w:rPr>
        <w:t>Notes</w:t>
      </w:r>
      <w:r>
        <w:rPr>
          <w:rFonts w:ascii="Arial" w:cs="Arial" w:eastAsia="Arial" w:hAnsi="Arial"/>
          <w:sz w:val="16"/>
          <w:szCs w:val="16"/>
          <w:color w:val="auto"/>
        </w:rPr>
        <w:t>”) (as so supplemented, the “</w:t>
      </w:r>
      <w:r>
        <w:rPr>
          <w:rFonts w:ascii="Arial" w:cs="Arial" w:eastAsia="Arial" w:hAnsi="Arial"/>
          <w:sz w:val="16"/>
          <w:szCs w:val="16"/>
          <w:i w:val="1"/>
          <w:iCs w:val="1"/>
          <w:color w:val="auto"/>
        </w:rPr>
        <w:t>Indenture</w:t>
      </w:r>
      <w:r>
        <w:rPr>
          <w:rFonts w:ascii="Arial" w:cs="Arial" w:eastAsia="Arial" w:hAnsi="Arial"/>
          <w:sz w:val="16"/>
          <w:szCs w:val="16"/>
          <w:color w:val="auto"/>
        </w:rPr>
        <w:t>”);</w:t>
      </w:r>
    </w:p>
    <w:p>
      <w:pPr>
        <w:spacing w:after="0" w:line="35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WHEREAS, Section 4.16 of the Second Supplemental Indenture, the Third Supplemental Indenture, the Fourth Supplemental Indenture and the Fifth Supplemental Indenture and Section 4.11 of the Sixth Supplemental Indenture, the Eighth Supplemental Indenture and the Ninth Supplemental Indenture provide that under certain circumstances a Domestic Subsidiary of the Company shall execute and deliver to the Trustee a supplemental indenture pursuant to which such Domestic Subsidiary shall fully and unconditionally guarantee all of the Company’s payment obligations under the Indenture and the Notes issued thereunder on the terms and conditions set forth therein (the “</w:t>
      </w:r>
      <w:r>
        <w:rPr>
          <w:rFonts w:ascii="Arial" w:cs="Arial" w:eastAsia="Arial" w:hAnsi="Arial"/>
          <w:sz w:val="18"/>
          <w:szCs w:val="18"/>
          <w:i w:val="1"/>
          <w:iCs w:val="1"/>
          <w:color w:val="auto"/>
        </w:rPr>
        <w:t>Note Guarantee”</w:t>
      </w:r>
      <w:r>
        <w:rPr>
          <w:rFonts w:ascii="Arial" w:cs="Arial" w:eastAsia="Arial" w:hAnsi="Arial"/>
          <w:sz w:val="18"/>
          <w:szCs w:val="18"/>
          <w:color w:val="auto"/>
        </w:rPr>
        <w:t>);</w:t>
      </w:r>
    </w:p>
    <w:p>
      <w:pPr>
        <w:spacing w:after="0" w:line="148"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WHEREAS, Section 9.01(4) of the Indenture provides that, without the consent of any Holder (as defined therein), the Company, the Subsidiary Guarantors and the Trustee may amend or supplement the Indenture to add guarantees of or additional obligors on each series of the Notes;</w:t>
      </w:r>
    </w:p>
    <w:p>
      <w:pPr>
        <w:spacing w:after="0" w:line="8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WHEREAS, the Guaranteeing Subsidiaries desire to become Subsidiary Guarantors under the Indenture with respect to the Notes and to have the Note Guarantee be treated as a Guarantee under the Indenture; and</w:t>
      </w:r>
    </w:p>
    <w:p>
      <w:pPr>
        <w:spacing w:after="0" w:line="130" w:lineRule="exact"/>
        <w:rPr>
          <w:sz w:val="20"/>
          <w:szCs w:val="20"/>
          <w:color w:val="auto"/>
        </w:rPr>
      </w:pPr>
    </w:p>
    <w:p>
      <w:pPr>
        <w:ind w:firstLine="4214"/>
        <w:spacing w:after="0" w:line="277" w:lineRule="auto"/>
        <w:rPr>
          <w:sz w:val="20"/>
          <w:szCs w:val="20"/>
          <w:color w:val="auto"/>
        </w:rPr>
      </w:pPr>
      <w:r>
        <w:rPr>
          <w:rFonts w:ascii="Arial" w:cs="Arial" w:eastAsia="Arial" w:hAnsi="Arial"/>
          <w:sz w:val="18"/>
          <w:szCs w:val="18"/>
          <w:color w:val="auto"/>
        </w:rPr>
        <w:t>WHEREAS, the Company and the Subsidiary Guarantors, pursuant to the foregoing authority, propose to amend and supplement the Indenture in certain respects to provide for the Note Guarantee.</w:t>
      </w:r>
    </w:p>
    <w:p>
      <w:pPr>
        <w:spacing w:after="0" w:line="13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the Guaranteeing Subsidiaries, the other</w:t>
      </w:r>
    </w:p>
    <w:p>
      <w:pPr>
        <w:sectPr>
          <w:pgSz w:w="11900" w:h="16838" w:orient="portrait"/>
          <w:cols w:equalWidth="0" w:num="1">
            <w:col w:w="11420"/>
          </w:cols>
          <w:pgMar w:left="240" w:top="346"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4.18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and the Trustee mutually covenant and agree for the equal and ratable benefit of the Holders of the Notes as follows:</w:t>
      </w:r>
    </w:p>
    <w:p>
      <w:pPr>
        <w:spacing w:after="0" w:line="185" w:lineRule="exact"/>
        <w:rPr>
          <w:sz w:val="20"/>
          <w:szCs w:val="20"/>
          <w:color w:val="auto"/>
        </w:rPr>
      </w:pPr>
    </w:p>
    <w:p>
      <w:pPr>
        <w:ind w:left="600" w:hanging="187"/>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CAPITALIZED TERMS. Capitalized terms used herein without definition shall have the meanings assigned to them in the Indenture.</w:t>
      </w:r>
    </w:p>
    <w:p>
      <w:pPr>
        <w:spacing w:after="0" w:line="184" w:lineRule="exact"/>
        <w:rPr>
          <w:rFonts w:ascii="Arial" w:cs="Arial" w:eastAsia="Arial" w:hAnsi="Arial"/>
          <w:sz w:val="18"/>
          <w:szCs w:val="18"/>
          <w:color w:val="auto"/>
        </w:rPr>
      </w:pPr>
    </w:p>
    <w:p>
      <w:pPr>
        <w:ind w:left="4400" w:hanging="178"/>
        <w:spacing w:after="0"/>
        <w:tabs>
          <w:tab w:leader="none" w:pos="44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AGREEMENT TO GUARANTEE. The Guaranteeing Subsidiaries hereby agree that (i) they</w:t>
      </w:r>
    </w:p>
    <w:p>
      <w:pPr>
        <w:spacing w:after="0" w:line="34" w:lineRule="exact"/>
        <w:rPr>
          <w:rFonts w:ascii="Arial" w:cs="Arial" w:eastAsia="Arial" w:hAnsi="Arial"/>
          <w:sz w:val="17"/>
          <w:szCs w:val="17"/>
          <w:color w:val="auto"/>
        </w:rPr>
      </w:pPr>
    </w:p>
    <w:p>
      <w:pPr>
        <w:jc w:val="both"/>
        <w:ind w:right="200"/>
        <w:spacing w:after="0" w:line="255" w:lineRule="auto"/>
        <w:rPr>
          <w:rFonts w:ascii="Arial" w:cs="Arial" w:eastAsia="Arial" w:hAnsi="Arial"/>
          <w:sz w:val="17"/>
          <w:szCs w:val="17"/>
          <w:color w:val="auto"/>
        </w:rPr>
      </w:pPr>
      <w:r>
        <w:rPr>
          <w:rFonts w:ascii="Arial" w:cs="Arial" w:eastAsia="Arial" w:hAnsi="Arial"/>
          <w:sz w:val="18"/>
          <w:szCs w:val="18"/>
          <w:color w:val="auto"/>
        </w:rPr>
        <w:t>shall be Subsidiary Guarantors under the Indenture with respect to the Notes, (ii) the Note Guarantee is a “Guarantee” (as defined in Section 10.01(b) of the Indenture) as such term is used in the Indenture, including, without limitation, Article X thereof, and (iii) the terms and provisions of Article X apply to the Note Guarantee.</w:t>
      </w:r>
    </w:p>
    <w:p>
      <w:pPr>
        <w:spacing w:after="0" w:line="190" w:lineRule="exact"/>
        <w:rPr>
          <w:sz w:val="20"/>
          <w:szCs w:val="20"/>
          <w:color w:val="auto"/>
        </w:rPr>
      </w:pPr>
    </w:p>
    <w:p>
      <w:pPr>
        <w:ind w:right="80" w:firstLine="413"/>
        <w:spacing w:after="0" w:line="264" w:lineRule="auto"/>
        <w:tabs>
          <w:tab w:leader="none" w:pos="5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BUT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4222"/>
        <w:spacing w:after="0" w:line="277" w:lineRule="auto"/>
        <w:tabs>
          <w:tab w:leader="none" w:pos="43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30" w:lineRule="exact"/>
        <w:rPr>
          <w:sz w:val="20"/>
          <w:szCs w:val="20"/>
          <w:color w:val="auto"/>
        </w:rPr>
      </w:pPr>
    </w:p>
    <w:p>
      <w:pPr>
        <w:ind w:left="600" w:hanging="187"/>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200" w:firstLine="413"/>
        <w:spacing w:after="0" w:line="264" w:lineRule="auto"/>
        <w:tabs>
          <w:tab w:leader="none" w:pos="5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Subsidiary Guarantors and the Company.</w:t>
      </w:r>
    </w:p>
    <w:p>
      <w:pPr>
        <w:spacing w:after="0" w:line="181" w:lineRule="exact"/>
        <w:rPr>
          <w:rFonts w:ascii="Arial" w:cs="Arial" w:eastAsia="Arial" w:hAnsi="Arial"/>
          <w:sz w:val="18"/>
          <w:szCs w:val="18"/>
          <w:color w:val="auto"/>
        </w:rPr>
      </w:pPr>
    </w:p>
    <w:p>
      <w:pPr>
        <w:ind w:right="260" w:firstLine="413"/>
        <w:spacing w:after="0" w:line="277" w:lineRule="auto"/>
        <w:tabs>
          <w:tab w:leader="none" w:pos="5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TRUST INDENTURE ACT CONTROLS. If any provision of this Supplemental Indenture limits, qualifies or conflicts with the duties imposed by TIA §318(c), the imposed duties will control.</w:t>
      </w:r>
    </w:p>
    <w:p>
      <w:pPr>
        <w:spacing w:after="0" w:line="170" w:lineRule="exact"/>
        <w:rPr>
          <w:rFonts w:ascii="Arial" w:cs="Arial" w:eastAsia="Arial" w:hAnsi="Arial"/>
          <w:sz w:val="18"/>
          <w:szCs w:val="18"/>
          <w:color w:val="auto"/>
        </w:rPr>
      </w:pPr>
    </w:p>
    <w:p>
      <w:pPr>
        <w:ind w:left="4400" w:hanging="178"/>
        <w:spacing w:after="0"/>
        <w:tabs>
          <w:tab w:leader="none" w:pos="44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SUPPLEMENTAL INDENTURE INCORPORATED INTO INDENTURE. The terms and</w:t>
      </w:r>
    </w:p>
    <w:p>
      <w:pPr>
        <w:spacing w:after="0" w:line="23" w:lineRule="exact"/>
        <w:rPr>
          <w:rFonts w:ascii="Arial" w:cs="Arial" w:eastAsia="Arial" w:hAnsi="Arial"/>
          <w:sz w:val="18"/>
          <w:szCs w:val="18"/>
          <w:color w:val="auto"/>
        </w:rPr>
      </w:pPr>
    </w:p>
    <w:p>
      <w:pPr>
        <w:jc w:val="both"/>
        <w:ind w:right="140"/>
        <w:spacing w:after="0" w:line="323" w:lineRule="auto"/>
        <w:rPr>
          <w:rFonts w:ascii="Arial" w:cs="Arial" w:eastAsia="Arial" w:hAnsi="Arial"/>
          <w:sz w:val="18"/>
          <w:szCs w:val="18"/>
          <w:color w:val="auto"/>
        </w:rPr>
      </w:pPr>
      <w:r>
        <w:rPr>
          <w:rFonts w:ascii="Arial" w:cs="Arial" w:eastAsia="Arial" w:hAnsi="Arial"/>
          <w:sz w:val="16"/>
          <w:szCs w:val="16"/>
          <w:color w:val="auto"/>
        </w:rPr>
        <w:t>conditions of this Supplemental Indenture shall be deemed to be part of the Indenture for all purposes with respect to the Notes and the Note Guarantee. The Indenture is hereby incorporated by reference herein and, as supplemented by this Supplemental Indenture, is in all respects adopted, ratified and confirmed.</w:t>
      </w:r>
    </w:p>
    <w:p>
      <w:pPr>
        <w:spacing w:after="0" w:line="138" w:lineRule="exact"/>
        <w:rPr>
          <w:rFonts w:ascii="Arial" w:cs="Arial" w:eastAsia="Arial" w:hAnsi="Arial"/>
          <w:sz w:val="18"/>
          <w:szCs w:val="18"/>
          <w:color w:val="auto"/>
        </w:rPr>
      </w:pPr>
    </w:p>
    <w:p>
      <w:pPr>
        <w:jc w:val="both"/>
        <w:ind w:right="220" w:firstLine="4222"/>
        <w:spacing w:after="0" w:line="264" w:lineRule="auto"/>
        <w:tabs>
          <w:tab w:leader="none" w:pos="43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NOTES DEEMED CONFORMED. As of the date hereof, the provisions of the Notes shall be deemed to be conformed, without the necessity for any reissuance or exchange of any such Note or any other action on the part of the Holders of the Notes, the Company, any Subsidiary Guarantor or the Trustee, so as to reflect this Supplemental Indenture.</w:t>
      </w:r>
    </w:p>
    <w:p>
      <w:pPr>
        <w:spacing w:after="0" w:line="181" w:lineRule="exact"/>
        <w:rPr>
          <w:sz w:val="20"/>
          <w:szCs w:val="20"/>
          <w:color w:val="auto"/>
        </w:rPr>
      </w:pPr>
    </w:p>
    <w:p>
      <w:pPr>
        <w:ind w:right="120" w:firstLine="413"/>
        <w:spacing w:after="0" w:line="277" w:lineRule="auto"/>
        <w:tabs>
          <w:tab w:leader="none" w:pos="6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SUCCESSORS. All agreements of the Guaranteeing Subsidiaries in the Indenture will bind its respective successors, except as otherwise expressly provided in the Indenture.</w:t>
      </w:r>
    </w:p>
    <w:p>
      <w:pPr>
        <w:spacing w:after="0" w:line="170" w:lineRule="exact"/>
        <w:rPr>
          <w:rFonts w:ascii="Arial" w:cs="Arial" w:eastAsia="Arial" w:hAnsi="Arial"/>
          <w:sz w:val="18"/>
          <w:szCs w:val="18"/>
          <w:color w:val="auto"/>
        </w:rPr>
      </w:pPr>
    </w:p>
    <w:p>
      <w:pPr>
        <w:ind w:right="20" w:firstLine="413"/>
        <w:spacing w:after="0" w:line="277" w:lineRule="auto"/>
        <w:tabs>
          <w:tab w:leader="none" w:pos="6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SEVERABILITY. In case any provision in this Supplemental Indenture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right="200" w:firstLine="4214"/>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ectPr>
          <w:pgSz w:w="11900" w:h="16838" w:orient="portrait"/>
          <w:cols w:equalWidth="0" w:num="1">
            <w:col w:w="11420"/>
          </w:cols>
          <w:pgMar w:left="240" w:top="34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4.18</w:t>
      </w:r>
    </w:p>
    <w:p>
      <w:pPr>
        <w:spacing w:after="0" w:line="238"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COMPANY:</w:t>
      </w:r>
    </w:p>
    <w:p>
      <w:pPr>
        <w:spacing w:after="0" w:line="356"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WESTLAKE CHEMICAL CORPORATION</w:t>
      </w:r>
    </w:p>
    <w:p>
      <w:pPr>
        <w:spacing w:after="0" w:line="200" w:lineRule="exact"/>
        <w:rPr>
          <w:sz w:val="20"/>
          <w:szCs w:val="20"/>
          <w:color w:val="auto"/>
        </w:rPr>
      </w:pPr>
    </w:p>
    <w:p>
      <w:pPr>
        <w:spacing w:after="0" w:line="36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Albert Chao</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Name: Albert Chao</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0220"/>
          </w:cols>
          <w:pgMar w:left="1440" w:top="346" w:right="239" w:bottom="1440" w:gutter="0" w:footer="0" w:header="0"/>
        </w:sectPr>
      </w:pPr>
    </w:p>
    <w:bookmarkStart w:id="134" w:name="page135"/>
    <w:bookmarkEnd w:id="134"/>
    <w:p>
      <w:pPr>
        <w:ind w:left="1220"/>
        <w:spacing w:after="0"/>
        <w:rPr>
          <w:sz w:val="20"/>
          <w:szCs w:val="20"/>
          <w:color w:val="auto"/>
        </w:rPr>
      </w:pPr>
      <w:r>
        <w:rPr>
          <w:rFonts w:ascii="Arial" w:cs="Arial" w:eastAsia="Arial" w:hAnsi="Arial"/>
          <w:sz w:val="20"/>
          <w:szCs w:val="20"/>
          <w:u w:val="single" w:color="auto"/>
          <w:color w:val="auto"/>
        </w:rPr>
        <w:t>GUARANTEEING SUBSIDIARIES</w:t>
      </w:r>
    </w:p>
    <w:p>
      <w:pPr>
        <w:spacing w:after="0" w:line="32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LAGOON LLC</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AXIALL CORPORATION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AXIALL HOLDCO,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AXIALL NOTECO,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AXIALL OHIO,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AXIALL,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EAGLE HOLDCO 3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EAGLE NATRIUM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EAGLE PIPELINE,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EAGLE SPINCO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EAGLE US 2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GEORGIA GULF LAKE CHARLES,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PHH MONOMERS,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PLASTIC TRENDS,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ROME DELAWARE CORPORATION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ROYAL BUILDING PRODUCTS (USA)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ROYAL PLASTICS GROUP (U.S.A.) LIMITED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ROYAL WINDOWS AND DOOR PROFILES PLANT 13 INC.</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ROYAL WINDOWS AND DOOR PROFILES PLANT 14 INC.</w:t>
      </w:r>
    </w:p>
    <w:p>
      <w:pPr>
        <w:spacing w:after="0" w:line="398" w:lineRule="exact"/>
        <w:rPr>
          <w:sz w:val="20"/>
          <w:szCs w:val="20"/>
          <w:color w:val="auto"/>
        </w:rPr>
      </w:pPr>
    </w:p>
    <w:p>
      <w:pPr>
        <w:ind w:left="1400"/>
        <w:spacing w:after="0"/>
        <w:tabs>
          <w:tab w:leader="none" w:pos="1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-10160</wp:posOffset>
            </wp:positionV>
            <wp:extent cx="812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Name: Albert Chao</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001" w:right="1440" w:bottom="1440" w:gutter="0" w:footer="0" w:header="0"/>
        </w:sectPr>
      </w:pPr>
    </w:p>
    <w:bookmarkStart w:id="135" w:name="page136"/>
    <w:bookmarkEnd w:id="135"/>
    <w:p>
      <w:pPr>
        <w:ind w:left="1220"/>
        <w:spacing w:after="0"/>
        <w:rPr>
          <w:sz w:val="20"/>
          <w:szCs w:val="20"/>
          <w:color w:val="auto"/>
        </w:rPr>
      </w:pPr>
      <w:r>
        <w:rPr>
          <w:rFonts w:ascii="Arial" w:cs="Arial" w:eastAsia="Arial" w:hAnsi="Arial"/>
          <w:sz w:val="18"/>
          <w:szCs w:val="18"/>
          <w:u w:val="single" w:color="auto"/>
          <w:color w:val="auto"/>
        </w:rPr>
        <w:t>EXISTING SUBSIDIARY GUARANTORS:</w:t>
      </w:r>
    </w:p>
    <w:p>
      <w:pPr>
        <w:spacing w:after="0" w:line="200" w:lineRule="exact"/>
        <w:rPr>
          <w:sz w:val="20"/>
          <w:szCs w:val="20"/>
          <w:color w:val="auto"/>
        </w:rPr>
      </w:pP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GEISMAR HOLDINGS, INC.</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GVGP, INC.</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CHEMICAL INVESTMENTS, INC.</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GEISMAR POWER COMPANY LLC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WESTLAKE VINYLS COMPANY LP,</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GVGP, INC.,</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LONGVIEW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MANAGEMENT SERVICES, INC.</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NG I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OLEFINS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PIPELINE INVESTMENTS LLC,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WESTLAKE CHEMICAL INVESTMENTS, INC.,</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POLYMERS LLC,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WESTLAKE CHEMICAL INVESTMENTS, INC.,</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PVC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RESOURCES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STYRENE LLC,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WESTLAKE CHEMICAL INVESTMENTS,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SUPPLY AND TRADING COMPANY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VINYL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VINYLS COMPANY LP,</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GVGP, INC.,</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VINYLS, INC.</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WPT LLC,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BY WESTLAKE CHEMICAL INVESTMENTS, INC.,</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WESTLAKE PETROCHEMICALS LLC,</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BY WESTLAKE CHEMICAL INVESTMENTS,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ITS MANAGER</w:t>
      </w:r>
    </w:p>
    <w:p>
      <w:pPr>
        <w:spacing w:after="0" w:line="2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Albert Chao</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 Albert Chao</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[Signature Page to Supplemental Indenture]</w:t>
      </w:r>
    </w:p>
    <w:p>
      <w:pPr>
        <w:sectPr>
          <w:pgSz w:w="11900" w:h="16838" w:orient="portrait"/>
          <w:cols w:equalWidth="0" w:num="1">
            <w:col w:w="9019"/>
          </w:cols>
          <w:pgMar w:left="1440" w:top="1003" w:right="1440" w:bottom="1440" w:gutter="0" w:footer="0" w:header="0"/>
        </w:sectPr>
      </w:pPr>
    </w:p>
    <w:bookmarkStart w:id="136" w:name="page137"/>
    <w:bookmarkEnd w:id="136"/>
    <w:p>
      <w:pPr>
        <w:ind w:left="2420" w:right="2619" w:hanging="647"/>
        <w:spacing w:after="0" w:line="261" w:lineRule="auto"/>
        <w:rPr>
          <w:sz w:val="20"/>
          <w:szCs w:val="20"/>
          <w:color w:val="auto"/>
        </w:rPr>
      </w:pPr>
      <w:r>
        <w:rPr>
          <w:rFonts w:ascii="Arial" w:cs="Arial" w:eastAsia="Arial" w:hAnsi="Arial"/>
          <w:sz w:val="18"/>
          <w:szCs w:val="18"/>
          <w:b w:val="1"/>
          <w:bCs w:val="1"/>
          <w:color w:val="auto"/>
        </w:rPr>
        <w:t xml:space="preserve">WESTECH BUILDING PRODUCTS (EVANSVILLE) LLC </w:t>
      </w:r>
      <w:r>
        <w:rPr>
          <w:rFonts w:ascii="Arial" w:cs="Arial" w:eastAsia="Arial" w:hAnsi="Arial"/>
          <w:sz w:val="18"/>
          <w:szCs w:val="18"/>
          <w:color w:val="auto"/>
        </w:rPr>
        <w:t>BY WESTECH BUILDING PRODUCTS, INC.,</w:t>
      </w:r>
    </w:p>
    <w:p>
      <w:pPr>
        <w:ind w:left="272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jc w:val="right"/>
        <w:ind w:right="2999"/>
        <w:spacing w:after="0"/>
        <w:rPr>
          <w:sz w:val="20"/>
          <w:szCs w:val="20"/>
          <w:color w:val="auto"/>
        </w:rPr>
      </w:pPr>
      <w:r>
        <w:rPr>
          <w:rFonts w:ascii="Arial" w:cs="Arial" w:eastAsia="Arial" w:hAnsi="Arial"/>
          <w:sz w:val="18"/>
          <w:szCs w:val="18"/>
          <w:b w:val="1"/>
          <w:bCs w:val="1"/>
          <w:color w:val="auto"/>
        </w:rPr>
        <w:t>NORTH AMERICAN SPECIALTY PRODUCTS LLC,</w:t>
      </w:r>
    </w:p>
    <w:p>
      <w:pPr>
        <w:spacing w:after="0" w:line="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BY NORTH AMERICAN PIPE CORPORATION,</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ITS MANAGER</w:t>
      </w:r>
    </w:p>
    <w:p>
      <w:pPr>
        <w:spacing w:after="0" w:line="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F. Buesinger</w:t>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Name: Robert F. Buesinger</w:t>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9019"/>
          </w:cols>
          <w:pgMar w:left="1440" w:top="1431" w:right="1440" w:bottom="1440" w:gutter="0" w:footer="0" w:header="0"/>
        </w:sectPr>
      </w:pPr>
    </w:p>
    <w:bookmarkStart w:id="137" w:name="page138"/>
    <w:bookmarkEnd w:id="137"/>
    <w:p>
      <w:pPr>
        <w:ind w:left="1220"/>
        <w:spacing w:after="0"/>
        <w:rPr>
          <w:sz w:val="20"/>
          <w:szCs w:val="20"/>
          <w:color w:val="auto"/>
        </w:rPr>
      </w:pPr>
      <w:r>
        <w:rPr>
          <w:rFonts w:ascii="Arial" w:cs="Arial" w:eastAsia="Arial" w:hAnsi="Arial"/>
          <w:sz w:val="18"/>
          <w:szCs w:val="18"/>
          <w:u w:val="single" w:color="auto"/>
          <w:color w:val="auto"/>
        </w:rPr>
        <w:t>Trustee:</w:t>
      </w:r>
    </w:p>
    <w:p>
      <w:pPr>
        <w:spacing w:after="0" w:line="370"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200" w:lineRule="exact"/>
        <w:rPr>
          <w:sz w:val="20"/>
          <w:szCs w:val="20"/>
          <w:color w:val="auto"/>
        </w:rPr>
      </w:pPr>
    </w:p>
    <w:p>
      <w:pPr>
        <w:spacing w:after="0" w:line="340" w:lineRule="exact"/>
        <w:rPr>
          <w:sz w:val="20"/>
          <w:szCs w:val="20"/>
          <w:color w:val="auto"/>
        </w:rPr>
      </w:pPr>
    </w:p>
    <w:p>
      <w:pPr>
        <w:ind w:left="1240"/>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-10160</wp:posOffset>
            </wp:positionV>
            <wp:extent cx="6870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070" cy="8890"/>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Name: R. Tarnas</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9019"/>
          </w:cols>
          <w:pgMar w:left="1440" w:top="1003" w:right="1440" w:bottom="1440" w:gutter="0" w:footer="0" w:header="0"/>
        </w:sectPr>
      </w:pPr>
    </w:p>
    <w:bookmarkStart w:id="138" w:name="page139"/>
    <w:bookmarkEnd w:id="138"/>
    <w:p>
      <w:pPr>
        <w:jc w:val="center"/>
        <w:ind w:right="-1220"/>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b w:val="1"/>
          <w:bCs w:val="1"/>
          <w:color w:val="auto"/>
        </w:rPr>
        <w:t>Guaranteeing Subsidiaries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Lagoon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Axiall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Holdco,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Noteco,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LLC (f/k/a Georgia Gulf Chemicals &amp; Vinyls,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Holdco 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Natrium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Pipeline,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Spinco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US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Gulf Lake Charles,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PHH Monomers,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Plastic Trends,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Rome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Building Products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Plastics Group (U.S.A.)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Windows and Door Profiles Plant 13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Windows and Door Profiles Plant 14 Inc.</w:t>
      </w:r>
    </w:p>
    <w:p>
      <w:pPr>
        <w:sectPr>
          <w:pgSz w:w="11900" w:h="16838" w:orient="portrait"/>
          <w:cols w:equalWidth="0" w:num="1">
            <w:col w:w="10219"/>
          </w:cols>
          <w:pgMar w:left="240" w:top="823"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JOINDER AGREEMENT</w:t>
      </w:r>
    </w:p>
    <w:p>
      <w:pPr>
        <w:spacing w:after="0" w:line="36" w:lineRule="exact"/>
        <w:rPr>
          <w:sz w:val="20"/>
          <w:szCs w:val="20"/>
          <w:color w:val="auto"/>
        </w:rPr>
      </w:pPr>
    </w:p>
    <w:p>
      <w:pPr>
        <w:jc w:val="center"/>
        <w:ind w:left="2200"/>
        <w:spacing w:after="0"/>
        <w:rPr>
          <w:sz w:val="20"/>
          <w:szCs w:val="20"/>
          <w:color w:val="auto"/>
        </w:rPr>
      </w:pPr>
      <w:r>
        <w:rPr>
          <w:rFonts w:ascii="Arial" w:cs="Arial" w:eastAsia="Arial" w:hAnsi="Arial"/>
          <w:sz w:val="18"/>
          <w:szCs w:val="18"/>
          <w:color w:val="auto"/>
        </w:rPr>
        <w:t>October 14, 2016</w:t>
      </w:r>
    </w:p>
    <w:p>
      <w:pPr>
        <w:spacing w:after="0" w:line="252" w:lineRule="exact"/>
        <w:rPr>
          <w:sz w:val="20"/>
          <w:szCs w:val="20"/>
          <w:color w:val="auto"/>
        </w:rPr>
      </w:pPr>
    </w:p>
    <w:p>
      <w:pPr>
        <w:ind w:left="40" w:right="60" w:firstLine="648"/>
        <w:spacing w:after="0" w:line="259" w:lineRule="auto"/>
        <w:rPr>
          <w:sz w:val="20"/>
          <w:szCs w:val="20"/>
          <w:color w:val="auto"/>
        </w:rPr>
      </w:pPr>
      <w:r>
        <w:rPr>
          <w:rFonts w:ascii="Arial" w:cs="Arial" w:eastAsia="Arial" w:hAnsi="Arial"/>
          <w:sz w:val="18"/>
          <w:szCs w:val="18"/>
          <w:color w:val="auto"/>
        </w:rPr>
        <w:t>Reference is made to that certain Credit Agreement, dated as of August 23, 2016 (as amended, amended and restated, supplemented, waived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among Westlake Chemical Corporation, the other Borrowers referred to therein, the Guarantors referred to therein, the Lenders party thereto, the Issuing Banks party thereto, and JPMorgan Chase Bank, N.A., as Administrative Agent. Terms defined in the Credit Agreement are used herein with the same meanings.</w:t>
      </w:r>
    </w:p>
    <w:p>
      <w:pPr>
        <w:spacing w:after="0" w:line="183" w:lineRule="exact"/>
        <w:rPr>
          <w:sz w:val="20"/>
          <w:szCs w:val="20"/>
          <w:color w:val="auto"/>
        </w:rPr>
      </w:pPr>
    </w:p>
    <w:p>
      <w:pPr>
        <w:ind w:left="40" w:right="100" w:firstLine="648"/>
        <w:spacing w:after="0" w:line="282" w:lineRule="auto"/>
        <w:rPr>
          <w:sz w:val="20"/>
          <w:szCs w:val="20"/>
          <w:color w:val="auto"/>
        </w:rPr>
      </w:pPr>
      <w:r>
        <w:rPr>
          <w:rFonts w:ascii="Arial" w:cs="Arial" w:eastAsia="Arial" w:hAnsi="Arial"/>
          <w:sz w:val="18"/>
          <w:szCs w:val="18"/>
          <w:color w:val="auto"/>
        </w:rPr>
        <w:t>NOW, THEREFORE, the Administrative Agent and the entities listed on Schedule I hereof (each, a “</w:t>
      </w:r>
      <w:r>
        <w:rPr>
          <w:rFonts w:ascii="Arial" w:cs="Arial" w:eastAsia="Arial" w:hAnsi="Arial"/>
          <w:sz w:val="18"/>
          <w:szCs w:val="18"/>
          <w:b w:val="1"/>
          <w:bCs w:val="1"/>
          <w:color w:val="auto"/>
        </w:rPr>
        <w:t>New Guarantor</w:t>
      </w:r>
      <w:r>
        <w:rPr>
          <w:rFonts w:ascii="Arial" w:cs="Arial" w:eastAsia="Arial" w:hAnsi="Arial"/>
          <w:sz w:val="18"/>
          <w:szCs w:val="18"/>
          <w:color w:val="auto"/>
        </w:rPr>
        <w:t>” and collectively,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Guarantors</w:t>
      </w:r>
      <w:r>
        <w:rPr>
          <w:rFonts w:ascii="Arial" w:cs="Arial" w:eastAsia="Arial" w:hAnsi="Arial"/>
          <w:sz w:val="18"/>
          <w:szCs w:val="18"/>
          <w:color w:val="auto"/>
        </w:rPr>
        <w:t>”) each in its capacity as a Guarantor, hereby agrees as follows:</w:t>
      </w:r>
    </w:p>
    <w:p>
      <w:pPr>
        <w:spacing w:after="0" w:line="162" w:lineRule="exact"/>
        <w:rPr>
          <w:sz w:val="20"/>
          <w:szCs w:val="20"/>
          <w:color w:val="auto"/>
        </w:rPr>
      </w:pPr>
    </w:p>
    <w:p>
      <w:pPr>
        <w:ind w:left="40" w:right="220" w:firstLine="644"/>
        <w:spacing w:after="0" w:line="303" w:lineRule="auto"/>
        <w:tabs>
          <w:tab w:leader="none" w:pos="1003"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Joinder as Guarantor</w:t>
      </w:r>
      <w:r>
        <w:rPr>
          <w:rFonts w:ascii="Arial" w:cs="Arial" w:eastAsia="Arial" w:hAnsi="Arial"/>
          <w:sz w:val="16"/>
          <w:szCs w:val="16"/>
          <w:color w:val="auto"/>
        </w:rPr>
        <w:t>. In accordance with Section 5.10(a) of the Credit Agreement, each New Guarantor by its signature below becomes a</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under the Credit Agreement with the same force and effect as if originally named therein as a Guarantor, but in any event subject to the same terms, provisions and limitations set forth in Article XI of the Credit Agreement. Each New Guarantor hereby agrees to all the terms and provisions of the Credit Agreement applicable to it as a Guarantor. Each reference to a Guarantor in the Credit Agreement shall be deemed to include each New Guarantor.</w:t>
      </w:r>
    </w:p>
    <w:p>
      <w:pPr>
        <w:spacing w:after="0" w:line="151" w:lineRule="exact"/>
        <w:rPr>
          <w:rFonts w:ascii="Arial" w:cs="Arial" w:eastAsia="Arial" w:hAnsi="Arial"/>
          <w:sz w:val="16"/>
          <w:szCs w:val="16"/>
          <w:color w:val="auto"/>
        </w:rPr>
      </w:pPr>
    </w:p>
    <w:p>
      <w:pPr>
        <w:ind w:left="40" w:right="240" w:firstLine="644"/>
        <w:spacing w:after="0" w:line="303" w:lineRule="auto"/>
        <w:tabs>
          <w:tab w:leader="none" w:pos="104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Each New Guarantor represents and warrants that each of the representations and warranties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Credit Agreement and applicable to the undersigned is true in all material respects on and as of the date hereof, except to the extent any such representation and warranty (i) expressly relates to an earlier date in which case such representation and warranty shall be true and correct in all material respects as of such earlier date or (ii) is qualified by materiality, in which case such representation and warranty shall be true and correct in all respects.</w:t>
      </w:r>
    </w:p>
    <w:p>
      <w:pPr>
        <w:spacing w:after="0" w:line="151" w:lineRule="exact"/>
        <w:rPr>
          <w:sz w:val="20"/>
          <w:szCs w:val="20"/>
          <w:color w:val="auto"/>
        </w:rPr>
      </w:pPr>
    </w:p>
    <w:p>
      <w:pPr>
        <w:ind w:left="40" w:right="20" w:firstLine="644"/>
        <w:spacing w:after="0" w:line="266" w:lineRule="auto"/>
        <w:tabs>
          <w:tab w:leader="none" w:pos="1003"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provision of this Joinder Agreement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rFonts w:ascii="Arial" w:cs="Arial" w:eastAsia="Arial" w:hAnsi="Arial"/>
          <w:sz w:val="18"/>
          <w:szCs w:val="18"/>
          <w:color w:val="auto"/>
        </w:rPr>
      </w:pPr>
    </w:p>
    <w:p>
      <w:pPr>
        <w:jc w:val="both"/>
        <w:ind w:right="180" w:firstLine="657"/>
        <w:spacing w:after="0" w:line="266" w:lineRule="auto"/>
        <w:tabs>
          <w:tab w:leader="none" w:pos="100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Joinder Agreement may be executed in counterparts, each of which shall constitute an original. Delivery of an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page to this Joinder Agreement by facsimile or electronic transmission shall be as effective as delivery of an original executed counterpart of this Joinder Agreement.</w:t>
      </w:r>
    </w:p>
    <w:p>
      <w:pPr>
        <w:spacing w:after="0" w:line="176" w:lineRule="exact"/>
        <w:rPr>
          <w:rFonts w:ascii="Arial" w:cs="Arial" w:eastAsia="Arial" w:hAnsi="Arial"/>
          <w:sz w:val="18"/>
          <w:szCs w:val="18"/>
          <w:color w:val="auto"/>
        </w:rPr>
      </w:pPr>
    </w:p>
    <w:p>
      <w:pPr>
        <w:ind w:left="980" w:hanging="323"/>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Except as expressly supplemented hereby, the Credit Agreement shall remain in full force and effect.</w:t>
      </w:r>
    </w:p>
    <w:p>
      <w:pPr>
        <w:spacing w:after="0" w:line="211" w:lineRule="exact"/>
        <w:rPr>
          <w:rFonts w:ascii="Arial" w:cs="Arial" w:eastAsia="Arial" w:hAnsi="Arial"/>
          <w:sz w:val="18"/>
          <w:szCs w:val="18"/>
          <w:color w:val="auto"/>
        </w:rPr>
      </w:pPr>
    </w:p>
    <w:p>
      <w:pPr>
        <w:ind w:right="120" w:firstLine="657"/>
        <w:spacing w:after="0" w:line="282" w:lineRule="auto"/>
        <w:tabs>
          <w:tab w:leader="none" w:pos="100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requests and demands to or upon each New Guarantor, the Administrative Agent or any Lender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Section 9.01 of the Credit Agreement.</w:t>
      </w:r>
    </w:p>
    <w:p>
      <w:pPr>
        <w:spacing w:after="0" w:line="148" w:lineRule="exact"/>
        <w:rPr>
          <w:rFonts w:ascii="Arial" w:cs="Arial" w:eastAsia="Arial" w:hAnsi="Arial"/>
          <w:sz w:val="18"/>
          <w:szCs w:val="18"/>
          <w:color w:val="auto"/>
        </w:rPr>
      </w:pPr>
    </w:p>
    <w:p>
      <w:pPr>
        <w:ind w:right="40" w:firstLine="657"/>
        <w:spacing w:after="0" w:line="282" w:lineRule="auto"/>
        <w:tabs>
          <w:tab w:leader="none" w:pos="100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w:t>
      </w:r>
    </w:p>
    <w:p>
      <w:pPr>
        <w:spacing w:after="0" w:line="38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340"/>
          </w:cols>
          <w:pgMar w:left="320" w:top="589" w:right="239" w:bottom="1440" w:gutter="0" w:footer="0" w:header="0"/>
        </w:sectPr>
      </w:pPr>
    </w:p>
    <w:bookmarkStart w:id="140" w:name="page141"/>
    <w:bookmarkEnd w:id="140"/>
    <w:p>
      <w:pPr>
        <w:spacing w:after="0" w:line="3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Joinder Agreement to be duly executed and delivered by their duly authorized officers as of the day and year first above written.</w:t>
      </w:r>
    </w:p>
    <w:p>
      <w:pPr>
        <w:spacing w:after="0" w:line="17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LAGOON LLC</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AXIALL CORPORATION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AXIALL HOLDCO,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AXIALL NOTECO,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AXIALL OHIO,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AXIALL, LLC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EAGLE HOLDCO 3 LLC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EAGLE NATRIUM LLC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EAGLE PIPELINE,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EAGLE SPINCO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EAGLE US 2 LLC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GEORGIA GULF LAKE CHARLES, LLC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PHH MONOMERS, LLC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PLASTIC TRENDS,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ROME DELAWARE CORPORATION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ROYAL BUILDING PRODUCTS (USA)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ROYAL PLASTICS GROUP (U.S.A.) LIMITED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ROYAL WINDOWS AND DOOR PROFILES PLANT 13 INC.</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ROYAL WINDOWS AND DOOR PROFILES PLANT 14 INC.</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as Guarantors</w:t>
      </w:r>
    </w:p>
    <w:p>
      <w:pPr>
        <w:spacing w:after="0" w:line="185" w:lineRule="exact"/>
        <w:rPr>
          <w:sz w:val="20"/>
          <w:szCs w:val="20"/>
          <w:color w:val="auto"/>
        </w:rPr>
      </w:pPr>
    </w:p>
    <w:p>
      <w:pPr>
        <w:ind w:left="2480"/>
        <w:spacing w:after="0"/>
        <w:tabs>
          <w:tab w:leader="none" w:pos="2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-10160</wp:posOffset>
            </wp:positionV>
            <wp:extent cx="1041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1400" cy="889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 Albert Chao</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Joinder of New Guarantors]</w:t>
      </w:r>
    </w:p>
    <w:p>
      <w:pPr>
        <w:sectPr>
          <w:pgSz w:w="11900" w:h="16838" w:orient="portrait"/>
          <w:cols w:equalWidth="0" w:num="1">
            <w:col w:w="11260"/>
          </w:cols>
          <w:pgMar w:left="360" w:top="1440" w:right="279" w:bottom="1440" w:gutter="0" w:footer="0" w:header="0"/>
        </w:sectPr>
      </w:pPr>
    </w:p>
    <w:bookmarkStart w:id="141" w:name="page142"/>
    <w:bookmarkEnd w:id="141"/>
    <w:p>
      <w:pPr>
        <w:spacing w:after="0" w:line="200" w:lineRule="exact"/>
        <w:rPr>
          <w:sz w:val="20"/>
          <w:szCs w:val="20"/>
          <w:color w:val="auto"/>
        </w:rPr>
      </w:pPr>
    </w:p>
    <w:p>
      <w:pPr>
        <w:spacing w:after="0" w:line="30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20"/>
        <w:spacing w:after="0"/>
        <w:tabs>
          <w:tab w:leader="none" w:pos="3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John Kushnerick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27305</wp:posOffset>
            </wp:positionV>
            <wp:extent cx="1869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John Kushnerick</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Joinder of New Guarantors]</w:t>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34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New Guarantors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LAGOON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AXIALL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HOLDCO,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NOTECO,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AXIALL,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HOLDCO 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NATRIUM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PIPELINE,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SPINCO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 US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GULF LAKE CHARLES,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PHH MONOMERS,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PLASTIC TRENDS,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ROME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BUILDING PRODUCTS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PLASTICS GROUP (U.S.A.)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WINDOWS AND DOOR PROFILES PLANT 13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WINDOWS AND DOOR PROFILES PLANT 14 INC.</w:t>
      </w:r>
    </w:p>
    <w:p>
      <w:pPr>
        <w:sectPr>
          <w:pgSz w:w="11900" w:h="16838" w:orient="portrait"/>
          <w:cols w:equalWidth="0" w:num="1">
            <w:col w:w="10219"/>
          </w:cols>
          <w:pgMar w:left="240" w:top="144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558,379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963,441</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1,083,918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942,172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585,169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65,002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 of Capitalized Interest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Investee Distributions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 Available for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622,542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1,006,501</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1,147,937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977,033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645,470</w:t>
            </w: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7,706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Portion of Rentals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12,733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122,128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70,261</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64,755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60,593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65,002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WESTLAKE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 or Other Jurisdiction</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2"/>
                <w:szCs w:val="12"/>
                <w:color w:val="auto"/>
              </w:rPr>
            </w:pPr>
          </w:p>
        </w:tc>
        <w:tc>
          <w:tcPr>
            <w:tcW w:w="3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Incorporation or</w:t>
            </w:r>
          </w:p>
        </w:tc>
        <w:tc>
          <w:tcPr>
            <w:tcW w:w="3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Names Doing Business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0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6630987 Canada,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6630987 Canada,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Canada,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Canada,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Corporation</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Holdco,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Holdco,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Limited Partnership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Limited Partnership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Noteco,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Noteco,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Ohio,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Ohio,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Taiwan Ltd.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Taiwan</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Taiwan Ltd.</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Axiall,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Axiall,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Holdco 3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Holdco 3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Natrium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Natrium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Pipeline,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Louisiana</w:t>
            </w:r>
          </w:p>
        </w:tc>
        <w:tc>
          <w:tcPr>
            <w:tcW w:w="3880" w:type="dxa"/>
            <w:vAlign w:val="bottom"/>
          </w:tcPr>
          <w:p>
            <w:pPr>
              <w:ind w:left="40"/>
              <w:spacing w:after="0"/>
              <w:rPr>
                <w:sz w:val="20"/>
                <w:szCs w:val="20"/>
                <w:color w:val="auto"/>
              </w:rPr>
            </w:pPr>
            <w:r>
              <w:rPr>
                <w:rFonts w:ascii="Arial" w:cs="Arial" w:eastAsia="Arial" w:hAnsi="Arial"/>
                <w:sz w:val="18"/>
                <w:szCs w:val="18"/>
                <w:color w:val="auto"/>
              </w:rPr>
              <w:t>Eagle Pipeline,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Spinco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Spinco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Eagle US 2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Eagle US 2 LLC</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EPS Ethylen-Pipeline-Sud Geschaftsfuhrungs</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EPS Ethylen-Pipeline-Sud Geschaftsfuhrungs</w:t>
            </w:r>
          </w:p>
        </w:tc>
        <w:tc>
          <w:tcPr>
            <w:tcW w:w="0" w:type="dxa"/>
            <w:vAlign w:val="bottom"/>
          </w:tcPr>
          <w:p>
            <w:pPr>
              <w:spacing w:after="0"/>
              <w:rPr>
                <w:sz w:val="1"/>
                <w:szCs w:val="1"/>
                <w:color w:val="auto"/>
              </w:rPr>
            </w:pPr>
          </w:p>
        </w:tc>
      </w:tr>
      <w:tr>
        <w:trPr>
          <w:trHeight w:val="23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GmbH</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GmbH</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EPS Ethylen-Pipeline-Sud GmbH &amp; Co. KG</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EPS Ethylen-Pipeline-Sud GmbH &amp; Co. KG</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George Gulf Lake Charles,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George Gulf Lake Charles,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InfraServ GmbH &amp; Co. Gendorf KG</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InfraServ GmbH &amp; Co. Gendorf KG</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InfraServ GmbH &amp; Co. Knapsack KG</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Germany</w:t>
            </w:r>
          </w:p>
        </w:tc>
        <w:tc>
          <w:tcPr>
            <w:tcW w:w="3880" w:type="dxa"/>
            <w:vAlign w:val="bottom"/>
          </w:tcPr>
          <w:p>
            <w:pPr>
              <w:ind w:left="40"/>
              <w:spacing w:after="0"/>
              <w:rPr>
                <w:sz w:val="20"/>
                <w:szCs w:val="20"/>
                <w:color w:val="auto"/>
              </w:rPr>
            </w:pPr>
            <w:r>
              <w:rPr>
                <w:rFonts w:ascii="Arial" w:cs="Arial" w:eastAsia="Arial" w:hAnsi="Arial"/>
                <w:sz w:val="18"/>
                <w:szCs w:val="18"/>
                <w:color w:val="auto"/>
              </w:rPr>
              <w:t>InfraServe GmbH &amp; Co. Knapsack KG</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LACC,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LACC,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Lagoon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Lagoon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Mexaxiall, S. de R.L. de C.V.</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Mexico</w:t>
            </w:r>
          </w:p>
        </w:tc>
        <w:tc>
          <w:tcPr>
            <w:tcW w:w="3880" w:type="dxa"/>
            <w:vAlign w:val="bottom"/>
          </w:tcPr>
          <w:p>
            <w:pPr>
              <w:ind w:left="40"/>
              <w:spacing w:after="0"/>
              <w:rPr>
                <w:sz w:val="20"/>
                <w:szCs w:val="20"/>
                <w:color w:val="auto"/>
              </w:rPr>
            </w:pPr>
            <w:r>
              <w:rPr>
                <w:rFonts w:ascii="Arial" w:cs="Arial" w:eastAsia="Arial" w:hAnsi="Arial"/>
                <w:sz w:val="18"/>
                <w:szCs w:val="18"/>
                <w:color w:val="auto"/>
              </w:rPr>
              <w:t>Mexaxiall, S. de R.L. de C.V.</w:t>
            </w:r>
          </w:p>
        </w:tc>
        <w:tc>
          <w:tcPr>
            <w:tcW w:w="0" w:type="dxa"/>
            <w:vAlign w:val="bottom"/>
          </w:tcPr>
          <w:p>
            <w:pPr>
              <w:spacing w:after="0"/>
              <w:rPr>
                <w:sz w:val="1"/>
                <w:szCs w:val="1"/>
                <w:color w:val="auto"/>
              </w:rPr>
            </w:pPr>
          </w:p>
        </w:tc>
      </w:tr>
      <w:tr>
        <w:trPr>
          <w:trHeight w:val="37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North American Pipe Corporation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North American Pipe Corporation</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and NAPCO</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North American Specialty Products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North American Specialty Products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PHH Monomers, LLC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Louisiana</w:t>
            </w:r>
          </w:p>
        </w:tc>
        <w:tc>
          <w:tcPr>
            <w:tcW w:w="3880" w:type="dxa"/>
            <w:vAlign w:val="bottom"/>
          </w:tcPr>
          <w:p>
            <w:pPr>
              <w:ind w:left="40"/>
              <w:spacing w:after="0"/>
              <w:rPr>
                <w:sz w:val="20"/>
                <w:szCs w:val="20"/>
                <w:color w:val="auto"/>
              </w:rPr>
            </w:pPr>
            <w:r>
              <w:rPr>
                <w:rFonts w:ascii="Arial" w:cs="Arial" w:eastAsia="Arial" w:hAnsi="Arial"/>
                <w:sz w:val="18"/>
                <w:szCs w:val="18"/>
                <w:color w:val="auto"/>
              </w:rPr>
              <w:t>PHH Monomers, LLC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Plastic Trends,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Michigan</w:t>
            </w:r>
          </w:p>
        </w:tc>
        <w:tc>
          <w:tcPr>
            <w:tcW w:w="3880" w:type="dxa"/>
            <w:vAlign w:val="bottom"/>
          </w:tcPr>
          <w:p>
            <w:pPr>
              <w:ind w:left="40"/>
              <w:spacing w:after="0"/>
              <w:rPr>
                <w:sz w:val="20"/>
                <w:szCs w:val="20"/>
                <w:color w:val="auto"/>
              </w:rPr>
            </w:pPr>
            <w:r>
              <w:rPr>
                <w:rFonts w:ascii="Arial" w:cs="Arial" w:eastAsia="Arial" w:hAnsi="Arial"/>
                <w:sz w:val="18"/>
                <w:szCs w:val="18"/>
                <w:color w:val="auto"/>
              </w:rPr>
              <w:t>Plastic Trends,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Rome Acquisition Holding Corp.</w:t>
            </w: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Nova Scotia</w:t>
            </w:r>
          </w:p>
        </w:tc>
        <w:tc>
          <w:tcPr>
            <w:tcW w:w="3880" w:type="dxa"/>
            <w:vAlign w:val="bottom"/>
          </w:tcPr>
          <w:p>
            <w:pPr>
              <w:ind w:left="40"/>
              <w:spacing w:after="0"/>
              <w:rPr>
                <w:sz w:val="20"/>
                <w:szCs w:val="20"/>
                <w:color w:val="auto"/>
              </w:rPr>
            </w:pPr>
            <w:r>
              <w:rPr>
                <w:rFonts w:ascii="Arial" w:cs="Arial" w:eastAsia="Arial" w:hAnsi="Arial"/>
                <w:sz w:val="18"/>
                <w:szCs w:val="18"/>
                <w:color w:val="auto"/>
              </w:rPr>
              <w:t>Rome Acquisition Holding Corp.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Rome Delaware Corp.</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Rome Delaware Corp.</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Royal Building Products (USA)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Royal Building Products (USA) Inc.</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Royal Group, Inc. Groupe Royal, Inc.</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3880" w:type="dxa"/>
            <w:vAlign w:val="bottom"/>
          </w:tcPr>
          <w:p>
            <w:pPr>
              <w:ind w:left="40"/>
              <w:spacing w:after="0"/>
              <w:rPr>
                <w:sz w:val="20"/>
                <w:szCs w:val="20"/>
                <w:color w:val="auto"/>
              </w:rPr>
            </w:pPr>
            <w:r>
              <w:rPr>
                <w:rFonts w:ascii="Arial" w:cs="Arial" w:eastAsia="Arial" w:hAnsi="Arial"/>
                <w:sz w:val="18"/>
                <w:szCs w:val="18"/>
                <w:color w:val="auto"/>
              </w:rPr>
              <w:t>Royal Group, Inc. Groupe Royal, Inc.</w:t>
            </w:r>
          </w:p>
        </w:tc>
        <w:tc>
          <w:tcPr>
            <w:tcW w:w="0" w:type="dxa"/>
            <w:vAlign w:val="bottom"/>
          </w:tcPr>
          <w:p>
            <w:pPr>
              <w:spacing w:after="0"/>
              <w:rPr>
                <w:sz w:val="1"/>
                <w:szCs w:val="1"/>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Royal Plastics Group (U.S.A.) Limited</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880" w:type="dxa"/>
            <w:vAlign w:val="bottom"/>
          </w:tcPr>
          <w:p>
            <w:pPr>
              <w:ind w:left="40"/>
              <w:spacing w:after="0"/>
              <w:rPr>
                <w:sz w:val="20"/>
                <w:szCs w:val="20"/>
                <w:color w:val="auto"/>
              </w:rPr>
            </w:pPr>
            <w:r>
              <w:rPr>
                <w:rFonts w:ascii="Arial" w:cs="Arial" w:eastAsia="Arial" w:hAnsi="Arial"/>
                <w:sz w:val="18"/>
                <w:szCs w:val="18"/>
                <w:color w:val="auto"/>
              </w:rPr>
              <w:t>Royal Plastics Group (U.S.A.) Limited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Royal Ventures Construction &amp; Development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Philippines</w:t>
            </w:r>
          </w:p>
        </w:tc>
        <w:tc>
          <w:tcPr>
            <w:tcW w:w="4060" w:type="dxa"/>
            <w:vAlign w:val="bottom"/>
          </w:tcPr>
          <w:p>
            <w:pPr>
              <w:ind w:left="460"/>
              <w:spacing w:after="0"/>
              <w:rPr>
                <w:sz w:val="20"/>
                <w:szCs w:val="20"/>
                <w:color w:val="auto"/>
              </w:rPr>
            </w:pPr>
            <w:r>
              <w:rPr>
                <w:rFonts w:ascii="Arial" w:cs="Arial" w:eastAsia="Arial" w:hAnsi="Arial"/>
                <w:sz w:val="18"/>
                <w:szCs w:val="18"/>
                <w:color w:val="auto"/>
                <w:w w:val="91"/>
              </w:rPr>
              <w:t>Royal Ventures Construction &amp; Development Inc.</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Royal Ventures Land Holdings Corp.</w:t>
            </w: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Philippines</w:t>
            </w:r>
          </w:p>
        </w:tc>
        <w:tc>
          <w:tcPr>
            <w:tcW w:w="4060" w:type="dxa"/>
            <w:vAlign w:val="bottom"/>
          </w:tcPr>
          <w:p>
            <w:pPr>
              <w:ind w:left="460"/>
              <w:spacing w:after="0"/>
              <w:rPr>
                <w:sz w:val="20"/>
                <w:szCs w:val="20"/>
                <w:color w:val="auto"/>
              </w:rPr>
            </w:pPr>
            <w:r>
              <w:rPr>
                <w:rFonts w:ascii="Arial" w:cs="Arial" w:eastAsia="Arial" w:hAnsi="Arial"/>
                <w:sz w:val="18"/>
                <w:szCs w:val="18"/>
                <w:color w:val="auto"/>
              </w:rPr>
              <w:t>Royal Ventures Land Holdings Corp.</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Royal Window and Door Profiles Plant 13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4060" w:type="dxa"/>
            <w:vAlign w:val="bottom"/>
          </w:tcPr>
          <w:p>
            <w:pPr>
              <w:ind w:left="460"/>
              <w:spacing w:after="0"/>
              <w:rPr>
                <w:sz w:val="20"/>
                <w:szCs w:val="20"/>
                <w:color w:val="auto"/>
              </w:rPr>
            </w:pPr>
            <w:r>
              <w:rPr>
                <w:rFonts w:ascii="Arial" w:cs="Arial" w:eastAsia="Arial" w:hAnsi="Arial"/>
                <w:sz w:val="18"/>
                <w:szCs w:val="18"/>
                <w:color w:val="auto"/>
                <w:w w:val="98"/>
              </w:rPr>
              <w:t>Royal Window and Door Profiles Plant 13 Inc.</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Royal Window and Door Profiles Plant 14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Washington</w:t>
            </w:r>
          </w:p>
        </w:tc>
        <w:tc>
          <w:tcPr>
            <w:tcW w:w="4060" w:type="dxa"/>
            <w:vAlign w:val="bottom"/>
          </w:tcPr>
          <w:p>
            <w:pPr>
              <w:ind w:left="460"/>
              <w:spacing w:after="0"/>
              <w:rPr>
                <w:sz w:val="20"/>
                <w:szCs w:val="20"/>
                <w:color w:val="auto"/>
              </w:rPr>
            </w:pPr>
            <w:r>
              <w:rPr>
                <w:rFonts w:ascii="Arial" w:cs="Arial" w:eastAsia="Arial" w:hAnsi="Arial"/>
                <w:sz w:val="18"/>
                <w:szCs w:val="18"/>
                <w:color w:val="auto"/>
                <w:w w:val="98"/>
              </w:rPr>
              <w:t>Royal Window and Door Profiles Plant 14 Inc.</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RS Cogen, L.L.C.</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Louisiana</w:t>
            </w:r>
          </w:p>
        </w:tc>
        <w:tc>
          <w:tcPr>
            <w:tcW w:w="4060" w:type="dxa"/>
            <w:vAlign w:val="bottom"/>
          </w:tcPr>
          <w:p>
            <w:pPr>
              <w:ind w:left="460"/>
              <w:spacing w:after="0"/>
              <w:rPr>
                <w:sz w:val="20"/>
                <w:szCs w:val="20"/>
                <w:color w:val="auto"/>
              </w:rPr>
            </w:pPr>
            <w:r>
              <w:rPr>
                <w:rFonts w:ascii="Arial" w:cs="Arial" w:eastAsia="Arial" w:hAnsi="Arial"/>
                <w:sz w:val="18"/>
                <w:szCs w:val="18"/>
                <w:color w:val="auto"/>
              </w:rPr>
              <w:t>RS Cogen, L.L.C.</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Shriram Axiall Private Limited</w:t>
            </w:r>
          </w:p>
        </w:tc>
        <w:tc>
          <w:tcPr>
            <w:tcW w:w="2960" w:type="dxa"/>
            <w:vAlign w:val="bottom"/>
          </w:tcPr>
          <w:p>
            <w:pPr>
              <w:jc w:val="center"/>
              <w:spacing w:after="0"/>
              <w:rPr>
                <w:sz w:val="20"/>
                <w:szCs w:val="20"/>
                <w:color w:val="auto"/>
              </w:rPr>
            </w:pPr>
            <w:r>
              <w:rPr>
                <w:rFonts w:ascii="Arial" w:cs="Arial" w:eastAsia="Arial" w:hAnsi="Arial"/>
                <w:sz w:val="18"/>
                <w:szCs w:val="18"/>
                <w:color w:val="auto"/>
                <w:w w:val="97"/>
              </w:rPr>
              <w:t>India</w:t>
            </w:r>
          </w:p>
        </w:tc>
        <w:tc>
          <w:tcPr>
            <w:tcW w:w="4060" w:type="dxa"/>
            <w:vAlign w:val="bottom"/>
          </w:tcPr>
          <w:p>
            <w:pPr>
              <w:ind w:left="460"/>
              <w:spacing w:after="0"/>
              <w:rPr>
                <w:sz w:val="20"/>
                <w:szCs w:val="20"/>
                <w:color w:val="auto"/>
              </w:rPr>
            </w:pPr>
            <w:r>
              <w:rPr>
                <w:rFonts w:ascii="Arial" w:cs="Arial" w:eastAsia="Arial" w:hAnsi="Arial"/>
                <w:sz w:val="18"/>
                <w:szCs w:val="18"/>
                <w:color w:val="auto"/>
              </w:rPr>
              <w:t>Shriram Axiall Private Limited</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Taiwan Chlorine Industries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Taiwan</w:t>
            </w:r>
          </w:p>
        </w:tc>
        <w:tc>
          <w:tcPr>
            <w:tcW w:w="4060" w:type="dxa"/>
            <w:vAlign w:val="bottom"/>
          </w:tcPr>
          <w:p>
            <w:pPr>
              <w:ind w:left="460"/>
              <w:spacing w:after="0"/>
              <w:rPr>
                <w:sz w:val="20"/>
                <w:szCs w:val="20"/>
                <w:color w:val="auto"/>
              </w:rPr>
            </w:pPr>
            <w:r>
              <w:rPr>
                <w:rFonts w:ascii="Arial" w:cs="Arial" w:eastAsia="Arial" w:hAnsi="Arial"/>
                <w:sz w:val="18"/>
                <w:szCs w:val="18"/>
                <w:color w:val="auto"/>
              </w:rPr>
              <w:t>Taiwan Chlorine Industries Ltd.</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Vinnolit Benelux-France B.V.B.A.</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Dendermonde, Belgium</w:t>
            </w:r>
          </w:p>
        </w:tc>
        <w:tc>
          <w:tcPr>
            <w:tcW w:w="4060" w:type="dxa"/>
            <w:vAlign w:val="bottom"/>
          </w:tcPr>
          <w:p>
            <w:pPr>
              <w:ind w:left="460"/>
              <w:spacing w:after="0"/>
              <w:rPr>
                <w:sz w:val="20"/>
                <w:szCs w:val="20"/>
                <w:color w:val="auto"/>
              </w:rPr>
            </w:pPr>
            <w:r>
              <w:rPr>
                <w:rFonts w:ascii="Arial" w:cs="Arial" w:eastAsia="Arial" w:hAnsi="Arial"/>
                <w:sz w:val="18"/>
                <w:szCs w:val="18"/>
                <w:color w:val="auto"/>
              </w:rPr>
              <w:t>Vinnolit Benelux-France B.V.B.A.</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Vinnolit GmbH &amp; Co. KG</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Ismaning, Germany</w:t>
            </w:r>
          </w:p>
        </w:tc>
        <w:tc>
          <w:tcPr>
            <w:tcW w:w="4060" w:type="dxa"/>
            <w:vAlign w:val="bottom"/>
          </w:tcPr>
          <w:p>
            <w:pPr>
              <w:ind w:left="460"/>
              <w:spacing w:after="0"/>
              <w:rPr>
                <w:sz w:val="20"/>
                <w:szCs w:val="20"/>
                <w:color w:val="auto"/>
              </w:rPr>
            </w:pPr>
            <w:r>
              <w:rPr>
                <w:rFonts w:ascii="Arial" w:cs="Arial" w:eastAsia="Arial" w:hAnsi="Arial"/>
                <w:sz w:val="18"/>
                <w:szCs w:val="18"/>
                <w:color w:val="auto"/>
              </w:rPr>
              <w:t>Vinnolit GmbH &amp; Co. KG</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Vinnolit Hillhouse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Lancashire, England</w:t>
            </w:r>
          </w:p>
        </w:tc>
        <w:tc>
          <w:tcPr>
            <w:tcW w:w="4060" w:type="dxa"/>
            <w:vAlign w:val="bottom"/>
          </w:tcPr>
          <w:p>
            <w:pPr>
              <w:ind w:left="460"/>
              <w:spacing w:after="0"/>
              <w:rPr>
                <w:sz w:val="20"/>
                <w:szCs w:val="20"/>
                <w:color w:val="auto"/>
              </w:rPr>
            </w:pPr>
            <w:r>
              <w:rPr>
                <w:rFonts w:ascii="Arial" w:cs="Arial" w:eastAsia="Arial" w:hAnsi="Arial"/>
                <w:sz w:val="18"/>
                <w:szCs w:val="18"/>
                <w:color w:val="auto"/>
              </w:rPr>
              <w:t>Vinnolit Hillhouse Ltd.</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Vinnolit Italia S.r.L.</w:t>
            </w:r>
          </w:p>
        </w:tc>
        <w:tc>
          <w:tcPr>
            <w:tcW w:w="2960" w:type="dxa"/>
            <w:vAlign w:val="bottom"/>
          </w:tcPr>
          <w:p>
            <w:pPr>
              <w:jc w:val="center"/>
              <w:spacing w:after="0"/>
              <w:rPr>
                <w:sz w:val="20"/>
                <w:szCs w:val="20"/>
                <w:color w:val="auto"/>
              </w:rPr>
            </w:pPr>
            <w:r>
              <w:rPr>
                <w:rFonts w:ascii="Arial" w:cs="Arial" w:eastAsia="Arial" w:hAnsi="Arial"/>
                <w:sz w:val="18"/>
                <w:szCs w:val="18"/>
                <w:color w:val="auto"/>
                <w:w w:val="99"/>
              </w:rPr>
              <w:t>Milan, Italy</w:t>
            </w:r>
          </w:p>
        </w:tc>
        <w:tc>
          <w:tcPr>
            <w:tcW w:w="4060" w:type="dxa"/>
            <w:vAlign w:val="bottom"/>
          </w:tcPr>
          <w:p>
            <w:pPr>
              <w:ind w:left="460"/>
              <w:spacing w:after="0"/>
              <w:rPr>
                <w:sz w:val="20"/>
                <w:szCs w:val="20"/>
                <w:color w:val="auto"/>
              </w:rPr>
            </w:pPr>
            <w:r>
              <w:rPr>
                <w:rFonts w:ascii="Arial" w:cs="Arial" w:eastAsia="Arial" w:hAnsi="Arial"/>
                <w:sz w:val="18"/>
                <w:szCs w:val="18"/>
                <w:color w:val="auto"/>
              </w:rPr>
              <w:t>Vinnolit Italia S.r.L.</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Vinnolit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4060" w:type="dxa"/>
            <w:vAlign w:val="bottom"/>
          </w:tcPr>
          <w:p>
            <w:pPr>
              <w:ind w:left="460"/>
              <w:spacing w:after="0"/>
              <w:rPr>
                <w:sz w:val="20"/>
                <w:szCs w:val="20"/>
                <w:color w:val="auto"/>
              </w:rPr>
            </w:pPr>
            <w:r>
              <w:rPr>
                <w:rFonts w:ascii="Arial" w:cs="Arial" w:eastAsia="Arial" w:hAnsi="Arial"/>
                <w:sz w:val="18"/>
                <w:szCs w:val="18"/>
                <w:color w:val="auto"/>
              </w:rPr>
              <w:t>Vinnolit Ltd.</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Vinnolit Schkopau GmbH</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Ismaning, Germany</w:t>
            </w:r>
          </w:p>
        </w:tc>
        <w:tc>
          <w:tcPr>
            <w:tcW w:w="4060" w:type="dxa"/>
            <w:vAlign w:val="bottom"/>
          </w:tcPr>
          <w:p>
            <w:pPr>
              <w:ind w:left="460"/>
              <w:spacing w:after="0"/>
              <w:rPr>
                <w:sz w:val="20"/>
                <w:szCs w:val="20"/>
                <w:color w:val="auto"/>
              </w:rPr>
            </w:pPr>
            <w:r>
              <w:rPr>
                <w:rFonts w:ascii="Arial" w:cs="Arial" w:eastAsia="Arial" w:hAnsi="Arial"/>
                <w:sz w:val="18"/>
                <w:szCs w:val="18"/>
                <w:color w:val="auto"/>
              </w:rPr>
              <w:t>Vinnolit Schkopau GmbH</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Vinyl Solutions, LLC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Vinyl Solutions, LLC</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Westech Building Products,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Westech Building Products, Inc.</w:t>
            </w: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Westech Building Products ULC</w:t>
            </w:r>
          </w:p>
        </w:tc>
        <w:tc>
          <w:tcPr>
            <w:tcW w:w="29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60" w:type="dxa"/>
            <w:vAlign w:val="bottom"/>
          </w:tcPr>
          <w:p>
            <w:pPr>
              <w:ind w:left="460"/>
              <w:spacing w:after="0"/>
              <w:rPr>
                <w:sz w:val="20"/>
                <w:szCs w:val="20"/>
                <w:color w:val="auto"/>
              </w:rPr>
            </w:pPr>
            <w:r>
              <w:rPr>
                <w:rFonts w:ascii="Arial" w:cs="Arial" w:eastAsia="Arial" w:hAnsi="Arial"/>
                <w:sz w:val="18"/>
                <w:szCs w:val="18"/>
                <w:color w:val="auto"/>
              </w:rPr>
              <w:t>Westech Building Products ULC and</w:t>
            </w:r>
          </w:p>
        </w:tc>
      </w:tr>
      <w:tr>
        <w:trPr>
          <w:trHeight w:val="230"/>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Westech Building Products Limited</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Chemical Finance Corporation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Chemical Finance Corporation</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Chemical OpCo LP</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Chemical OpCo LP</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Chemical Partners LP</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Chemical Partners LP</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Germany GmbH &amp; Co. KG</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Ismaning, Germany</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Germany GmbH &amp; Co. KG</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International Holdings C.V.</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The Netherlands</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International Holdings C.V.</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Longview Corporation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Longview Corporation</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Management Services,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Management Services, Inc.</w:t>
            </w: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Westlake Petrochemicals LLC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Petrochemicals LLC,</w:t>
            </w:r>
          </w:p>
        </w:tc>
      </w:tr>
      <w:tr>
        <w:trPr>
          <w:trHeight w:val="230"/>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Westlake Petrochemicals LP and WPE</w:t>
            </w: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Westlake Polymers LLC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Polymers LLC,</w:t>
            </w:r>
          </w:p>
        </w:tc>
      </w:tr>
      <w:tr>
        <w:trPr>
          <w:trHeight w:val="230"/>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Westlake Polymers LP and WPE</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PVC Corporation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PVC Corporation</w:t>
            </w: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Westlake Styrene LLC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Styrene LLC and</w:t>
            </w:r>
          </w:p>
        </w:tc>
      </w:tr>
      <w:tr>
        <w:trPr>
          <w:trHeight w:val="230"/>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Westlake Styrene LP</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Supply and Trading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Supply and Trading Company</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Westlake Vinyls Company LP</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Vinyls Company LP</w:t>
            </w: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Westlake Vinyls,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Westlake Vinyls, Inc.,</w:t>
            </w:r>
          </w:p>
        </w:tc>
      </w:tr>
      <w:tr>
        <w:trPr>
          <w:trHeight w:val="230"/>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Westlake Monomers and WCAO</w:t>
            </w:r>
          </w:p>
        </w:tc>
      </w:tr>
      <w:tr>
        <w:trPr>
          <w:trHeight w:val="392"/>
        </w:trPr>
        <w:tc>
          <w:tcPr>
            <w:tcW w:w="4120" w:type="dxa"/>
            <w:vAlign w:val="bottom"/>
          </w:tcPr>
          <w:p>
            <w:pPr>
              <w:spacing w:after="0"/>
              <w:rPr>
                <w:sz w:val="20"/>
                <w:szCs w:val="20"/>
                <w:color w:val="auto"/>
              </w:rPr>
            </w:pPr>
            <w:r>
              <w:rPr>
                <w:rFonts w:ascii="Arial" w:cs="Arial" w:eastAsia="Arial" w:hAnsi="Arial"/>
                <w:sz w:val="18"/>
                <w:szCs w:val="18"/>
                <w:color w:val="auto"/>
              </w:rPr>
              <w:t>WPT LLC</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60" w:type="dxa"/>
            <w:vAlign w:val="bottom"/>
          </w:tcPr>
          <w:p>
            <w:pPr>
              <w:ind w:left="460"/>
              <w:spacing w:after="0"/>
              <w:rPr>
                <w:sz w:val="20"/>
                <w:szCs w:val="20"/>
                <w:color w:val="auto"/>
              </w:rPr>
            </w:pPr>
            <w:r>
              <w:rPr>
                <w:rFonts w:ascii="Arial" w:cs="Arial" w:eastAsia="Arial" w:hAnsi="Arial"/>
                <w:sz w:val="18"/>
                <w:szCs w:val="18"/>
                <w:color w:val="auto"/>
              </w:rPr>
              <w:t>WPT LLC and WPT LP</w:t>
            </w: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Suzhou Huasu Plastics Co.,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c>
          <w:tcPr>
            <w:tcW w:w="4060" w:type="dxa"/>
            <w:vAlign w:val="bottom"/>
          </w:tcPr>
          <w:p>
            <w:pPr>
              <w:ind w:left="460"/>
              <w:spacing w:after="0"/>
              <w:rPr>
                <w:sz w:val="20"/>
                <w:szCs w:val="20"/>
                <w:color w:val="auto"/>
              </w:rPr>
            </w:pPr>
            <w:r>
              <w:rPr>
                <w:rFonts w:ascii="Arial" w:cs="Arial" w:eastAsia="Arial" w:hAnsi="Arial"/>
                <w:sz w:val="18"/>
                <w:szCs w:val="18"/>
                <w:color w:val="auto"/>
              </w:rPr>
              <w:t>Suzhou Huasu Plastics Co., Ltd.</w:t>
            </w:r>
          </w:p>
        </w:tc>
      </w:tr>
      <w:tr>
        <w:trPr>
          <w:trHeight w:val="230"/>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and Huasu</w:t>
            </w:r>
          </w:p>
        </w:tc>
      </w:tr>
    </w:tbl>
    <w:p>
      <w:pPr>
        <w:sectPr>
          <w:pgSz w:w="11900" w:h="16838" w:orient="portrait"/>
          <w:cols w:equalWidth="0" w:num="1">
            <w:col w:w="11140"/>
          </w:cols>
          <w:pgMar w:left="280" w:top="746" w:right="479" w:bottom="1440" w:gutter="0" w:footer="0" w:header="0"/>
        </w:sectPr>
      </w:pPr>
    </w:p>
    <w:bookmarkStart w:id="146" w:name="page147"/>
    <w:bookmarkEnd w:id="146"/>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20" w:hanging="412"/>
        <w:spacing w:after="0" w:line="342" w:lineRule="auto"/>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Westlake has elected to omit the names of certain subsidiaries. None of the omitted subsidiaries, considered either alone or together with the other omitted subsidiaries of its immediate parent, constitutes a “Significant Subsidiary” as set forth in Section 601(b)(21) of Regulation S-K.</w:t>
      </w:r>
    </w:p>
    <w:p>
      <w:pPr>
        <w:sectPr>
          <w:pgSz w:w="11900" w:h="16838" w:orient="portrait"/>
          <w:cols w:equalWidth="0" w:num="1">
            <w:col w:w="10920"/>
          </w:cols>
          <w:pgMar w:left="240" w:top="589" w:right="7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333-118205) and Form S-3 (No. 333-213548) of Westlake Chemical Corporation of our reports dated February 22, 2017 relating to consolidated financial statements and the effectiveness of internal control over financial reporting, which appear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Corporation;</w:t>
      </w:r>
    </w:p>
    <w:p>
      <w:pPr>
        <w:spacing w:after="0" w:line="90"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80" w:right="260" w:hanging="486"/>
        <w:spacing w:after="0" w:line="264"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486"/>
        <w:spacing w:after="0" w:line="334" w:lineRule="auto"/>
        <w:tabs>
          <w:tab w:leader="none" w:pos="9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300" w:hanging="486"/>
        <w:spacing w:after="0" w:line="264"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80" w:hanging="486"/>
        <w:spacing w:after="0" w:line="308" w:lineRule="auto"/>
        <w:tabs>
          <w:tab w:leader="none" w:pos="9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right="160" w:hanging="486"/>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Corporation;</w:t>
      </w:r>
    </w:p>
    <w:p>
      <w:pPr>
        <w:spacing w:after="0" w:line="90"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980" w:right="260" w:hanging="486"/>
        <w:spacing w:after="0" w:line="264"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486"/>
        <w:spacing w:after="0" w:line="334" w:lineRule="auto"/>
        <w:tabs>
          <w:tab w:leader="none" w:pos="9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300" w:hanging="486"/>
        <w:spacing w:after="0" w:line="264"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80" w:hanging="486"/>
        <w:spacing w:after="0" w:line="30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right="160" w:hanging="486"/>
        <w:spacing w:after="0" w:line="277"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2017</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 connection with the Annual Report of Westlake Chemical Corporation (the "Company") on Form 10-K for the fiscal year ended December 31, 2016 as filed with the Securities and Exchange Commission on the date hereof (the "Report"), I, Albert Chao, President and Chief Executive Officer of the Company, and I, M. Steven Bender, Senior Vice President, Chief Financial Officer and Treasurer of the Company, certify, to the best of our knowledge, pursuant to 18 U.S.C. §1350, as adopted pursuant to §906 of the Sarbanes-Oxley Act of 2002, that:</w:t>
      </w:r>
    </w:p>
    <w:p>
      <w:pPr>
        <w:spacing w:after="0" w:line="36"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2017</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2"/>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3"/>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3"/>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5"/>
    </w:lvl>
  </w:abstractNum>
  <w:abstractNum w:abstractNumId="50">
    <w:nsid w:val="10233C99"/>
    <w:multiLevelType w:val="hybridMultilevel"/>
    <w:lvl w:ilvl="0">
      <w:lvlJc w:val="left"/>
      <w:lvlText w:val="%1."/>
      <w:numFmt w:val="decimal"/>
      <w:start w:val="19"/>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decimal"/>
      <w:start w:val="24"/>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1"/>
    </w:lvl>
    <w:lvl w:ilvl="1">
      <w:lvlJc w:val="left"/>
      <w:lvlText w:val="%2."/>
      <w:numFmt w:val="decimal"/>
      <w:start w:val="2"/>
    </w:lvl>
  </w:abstractNum>
  <w:abstractNum w:abstractNumId="61">
    <w:nsid w:val="4AD084E9"/>
    <w:multiLevelType w:val="hybridMultilevel"/>
    <w:lvl w:ilvl="0">
      <w:lvlJc w:val="left"/>
      <w:lvlText w:val="%1."/>
      <w:numFmt w:val="decimal"/>
      <w:start w:val="3"/>
    </w:lvl>
    <w:lvl w:ilvl="1">
      <w:lvlJc w:val="left"/>
      <w:lvlText w:val="%2."/>
      <w:numFmt w:val="decimal"/>
      <w:start w:val="4"/>
    </w:lvl>
  </w:abstractNum>
  <w:abstractNum w:abstractNumId="62">
    <w:nsid w:val="1F48EAA1"/>
    <w:multiLevelType w:val="hybridMultilevel"/>
    <w:lvl w:ilvl="0">
      <w:lvlJc w:val="left"/>
      <w:lvlText w:val="%1."/>
      <w:numFmt w:val="decimal"/>
      <w:start w:val="5"/>
    </w:lvl>
    <w:lvl w:ilvl="1">
      <w:lvlJc w:val="left"/>
      <w:lvlText w:val="%2."/>
      <w:numFmt w:val="decimal"/>
      <w:start w:val="8"/>
    </w:lvl>
  </w:abstractNum>
  <w:abstractNum w:abstractNumId="63">
    <w:nsid w:val="1381823A"/>
    <w:multiLevelType w:val="hybridMultilevel"/>
    <w:lvl w:ilvl="0">
      <w:lvlJc w:val="left"/>
      <w:lvlText w:val="%1."/>
      <w:numFmt w:val="decimal"/>
      <w:start w:val="10"/>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
    </w:lvl>
    <w:lvl w:ilvl="1">
      <w:lvlJc w:val="left"/>
      <w:lvlText w:val="%2."/>
      <w:numFmt w:val="decimal"/>
      <w:start w:val="4"/>
    </w:lvl>
  </w:abstractNum>
  <w:abstractNum w:abstractNumId="66">
    <w:nsid w:val="6590700B"/>
    <w:multiLevelType w:val="hybridMultilevel"/>
    <w:lvl w:ilvl="0">
      <w:lvlJc w:val="left"/>
      <w:lvlText w:val="%1."/>
      <w:numFmt w:val="decimal"/>
      <w:start w:val="5"/>
    </w:lvl>
    <w:lvl w:ilvl="1">
      <w:lvlJc w:val="left"/>
      <w:lvlText w:val="%2"/>
      <w:numFmt w:val="decimal"/>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2019-12-06T21:00:08Z</dcterms:created>
  <dcterms:modified xsi:type="dcterms:W3CDTF">2019-12-06T21:00:08Z</dcterms:modified>
</cp:coreProperties>
</file>