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137160</wp:posOffset>
            </wp:positionV>
            <wp:extent cx="32061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6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139065</wp:posOffset>
            </wp:positionV>
            <wp:extent cx="32061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ind w:left="680" w:right="40" w:hanging="654"/>
        <w:spacing w:after="0" w:line="238" w:lineRule="auto"/>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 w:lineRule="exact"/>
        <w:rPr>
          <w:sz w:val="24"/>
          <w:szCs w:val="24"/>
          <w:color w:val="auto"/>
        </w:rPr>
      </w:pPr>
    </w:p>
    <w:p>
      <w:pPr>
        <w:ind w:left="680"/>
        <w:spacing w:after="0"/>
        <w:tabs>
          <w:tab w:leader="none" w:pos="3700" w:val="left"/>
        </w:tabs>
        <w:rPr>
          <w:sz w:val="20"/>
          <w:szCs w:val="20"/>
          <w:color w:val="auto"/>
        </w:rPr>
      </w:pPr>
      <w:r>
        <w:rPr>
          <w:rFonts w:ascii="Times New Roman" w:cs="Times New Roman" w:eastAsia="Times New Roman" w:hAnsi="Times New Roman"/>
          <w:sz w:val="18"/>
          <w:szCs w:val="18"/>
          <w:b w:val="1"/>
          <w:bCs w:val="1"/>
          <w:color w:val="auto"/>
        </w:rPr>
        <w:t>For the quarterly period ended</w:t>
      </w:r>
      <w:r>
        <w:rPr>
          <w:sz w:val="20"/>
          <w:szCs w:val="20"/>
          <w:color w:val="auto"/>
        </w:rPr>
        <w:tab/>
      </w:r>
      <w:r>
        <w:rPr>
          <w:rFonts w:ascii="Times New Roman" w:cs="Times New Roman" w:eastAsia="Times New Roman" w:hAnsi="Times New Roman"/>
          <w:sz w:val="17"/>
          <w:szCs w:val="17"/>
          <w:b w:val="1"/>
          <w:bCs w:val="1"/>
          <w:color w:val="auto"/>
        </w:rPr>
        <w:t>June 30, 2024</w:t>
      </w:r>
    </w:p>
    <w:p>
      <w:pPr>
        <w:spacing w:after="0" w:line="2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680" w:hanging="641"/>
        <w:spacing w:after="0" w:line="238" w:lineRule="auto"/>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680"/>
        <w:spacing w:after="0"/>
        <w:tabs>
          <w:tab w:leader="none" w:pos="39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No. 001-32260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165735</wp:posOffset>
            </wp:positionV>
            <wp:extent cx="32061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9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Westlake Corporation</w:t>
      </w:r>
    </w:p>
    <w:p>
      <w:pPr>
        <w:spacing w:after="0" w:line="7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107315</wp:posOffset>
            </wp:positionV>
            <wp:extent cx="3206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140" w:type="dxa"/>
            <w:vAlign w:val="bottom"/>
          </w:tcPr>
          <w:p>
            <w:pPr>
              <w:spacing w:after="0"/>
              <w:rPr>
                <w:sz w:val="19"/>
                <w:szCs w:val="19"/>
                <w:color w:val="auto"/>
              </w:rPr>
            </w:pPr>
          </w:p>
        </w:tc>
        <w:tc>
          <w:tcPr>
            <w:tcW w:w="3640" w:type="dxa"/>
            <w:vAlign w:val="bottom"/>
            <w:gridSpan w:val="2"/>
          </w:tcPr>
          <w:p>
            <w:pPr>
              <w:jc w:val="center"/>
              <w:ind w:left="155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900" w:type="dxa"/>
            <w:vAlign w:val="bottom"/>
          </w:tcPr>
          <w:p>
            <w:pPr>
              <w:jc w:val="center"/>
              <w:ind w:right="1196"/>
              <w:spacing w:after="0"/>
              <w:rPr>
                <w:sz w:val="20"/>
                <w:szCs w:val="20"/>
                <w:color w:val="auto"/>
              </w:rPr>
            </w:pPr>
            <w:r>
              <w:rPr>
                <w:rFonts w:ascii="Times New Roman" w:cs="Times New Roman" w:eastAsia="Times New Roman" w:hAnsi="Times New Roman"/>
                <w:sz w:val="18"/>
                <w:szCs w:val="18"/>
                <w:b w:val="1"/>
                <w:bCs w:val="1"/>
                <w:color w:val="auto"/>
                <w:w w:val="98"/>
              </w:rPr>
              <w:t>76-0346924</w:t>
            </w:r>
          </w:p>
        </w:tc>
      </w:tr>
      <w:tr>
        <w:trPr>
          <w:trHeight w:val="149"/>
        </w:trPr>
        <w:tc>
          <w:tcPr>
            <w:tcW w:w="140" w:type="dxa"/>
            <w:vAlign w:val="bottom"/>
          </w:tcPr>
          <w:p>
            <w:pPr>
              <w:spacing w:after="0"/>
              <w:rPr>
                <w:sz w:val="12"/>
                <w:szCs w:val="12"/>
                <w:color w:val="auto"/>
              </w:rPr>
            </w:pPr>
          </w:p>
        </w:tc>
        <w:tc>
          <w:tcPr>
            <w:tcW w:w="3640" w:type="dxa"/>
            <w:vAlign w:val="bottom"/>
            <w:gridSpan w:val="2"/>
          </w:tcPr>
          <w:p>
            <w:pPr>
              <w:jc w:val="center"/>
              <w:ind w:left="1556"/>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900" w:type="dxa"/>
            <w:vAlign w:val="bottom"/>
          </w:tcPr>
          <w:p>
            <w:pPr>
              <w:jc w:val="center"/>
              <w:ind w:right="1216"/>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40" w:type="dxa"/>
            <w:vAlign w:val="bottom"/>
          </w:tcPr>
          <w:p>
            <w:pPr>
              <w:spacing w:after="0"/>
              <w:rPr>
                <w:sz w:val="16"/>
                <w:szCs w:val="16"/>
                <w:color w:val="auto"/>
              </w:rPr>
            </w:pPr>
          </w:p>
        </w:tc>
        <w:tc>
          <w:tcPr>
            <w:tcW w:w="3640" w:type="dxa"/>
            <w:vAlign w:val="bottom"/>
            <w:gridSpan w:val="2"/>
          </w:tcPr>
          <w:p>
            <w:pPr>
              <w:jc w:val="center"/>
              <w:ind w:left="155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900" w:type="dxa"/>
            <w:vAlign w:val="bottom"/>
          </w:tcPr>
          <w:p>
            <w:pPr>
              <w:jc w:val="center"/>
              <w:ind w:right="1196"/>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60"/>
        </w:trPr>
        <w:tc>
          <w:tcPr>
            <w:tcW w:w="1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60" w:type="dxa"/>
            <w:vAlign w:val="bottom"/>
            <w:gridSpan w:val="2"/>
          </w:tcPr>
          <w:p>
            <w:pPr>
              <w:jc w:val="center"/>
              <w:ind w:left="135"/>
              <w:spacing w:after="0"/>
              <w:rPr>
                <w:sz w:val="20"/>
                <w:szCs w:val="20"/>
                <w:color w:val="auto"/>
              </w:rPr>
            </w:pPr>
            <w:r>
              <w:rPr>
                <w:rFonts w:ascii="Times New Roman" w:cs="Times New Roman" w:eastAsia="Times New Roman" w:hAnsi="Times New Roman"/>
                <w:sz w:val="18"/>
                <w:szCs w:val="18"/>
                <w:b w:val="1"/>
                <w:bCs w:val="1"/>
                <w:color w:val="auto"/>
              </w:rPr>
              <w:t>2801 Post Oak Boulevard, Suite 600</w:t>
            </w:r>
          </w:p>
        </w:tc>
        <w:tc>
          <w:tcPr>
            <w:tcW w:w="3900" w:type="dxa"/>
            <w:vAlign w:val="bottom"/>
          </w:tcPr>
          <w:p>
            <w:pPr>
              <w:spacing w:after="0"/>
              <w:rPr>
                <w:sz w:val="24"/>
                <w:szCs w:val="24"/>
                <w:color w:val="auto"/>
              </w:rPr>
            </w:pPr>
          </w:p>
        </w:tc>
      </w:tr>
      <w:tr>
        <w:trPr>
          <w:trHeight w:val="214"/>
        </w:trPr>
        <w:tc>
          <w:tcPr>
            <w:tcW w:w="1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60" w:type="dxa"/>
            <w:vAlign w:val="bottom"/>
            <w:gridSpan w:val="2"/>
          </w:tcPr>
          <w:p>
            <w:pPr>
              <w:jc w:val="center"/>
              <w:ind w:left="155"/>
              <w:spacing w:after="0"/>
              <w:rPr>
                <w:sz w:val="20"/>
                <w:szCs w:val="20"/>
                <w:color w:val="auto"/>
              </w:rPr>
            </w:pPr>
            <w:r>
              <w:rPr>
                <w:rFonts w:ascii="Times New Roman" w:cs="Times New Roman" w:eastAsia="Times New Roman" w:hAnsi="Times New Roman"/>
                <w:sz w:val="18"/>
                <w:szCs w:val="18"/>
                <w:b w:val="1"/>
                <w:bCs w:val="1"/>
                <w:color w:val="auto"/>
                <w:w w:val="98"/>
              </w:rPr>
              <w:t>Houston, Texas 77056</w:t>
            </w:r>
          </w:p>
        </w:tc>
        <w:tc>
          <w:tcPr>
            <w:tcW w:w="3900" w:type="dxa"/>
            <w:vAlign w:val="bottom"/>
          </w:tcPr>
          <w:p>
            <w:pPr>
              <w:spacing w:after="0"/>
              <w:rPr>
                <w:sz w:val="18"/>
                <w:szCs w:val="18"/>
                <w:color w:val="auto"/>
              </w:rPr>
            </w:pPr>
          </w:p>
        </w:tc>
      </w:tr>
      <w:tr>
        <w:trPr>
          <w:trHeight w:val="190"/>
        </w:trPr>
        <w:tc>
          <w:tcPr>
            <w:tcW w:w="1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360" w:type="dxa"/>
            <w:vAlign w:val="bottom"/>
            <w:gridSpan w:val="3"/>
          </w:tcPr>
          <w:p>
            <w:pPr>
              <w:jc w:val="center"/>
              <w:ind w:right="359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r>
      <w:tr>
        <w:trPr>
          <w:trHeight w:val="363"/>
        </w:trPr>
        <w:tc>
          <w:tcPr>
            <w:tcW w:w="1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40" w:type="dxa"/>
            <w:vAlign w:val="bottom"/>
          </w:tcPr>
          <w:p>
            <w:pPr>
              <w:jc w:val="center"/>
              <w:ind w:left="675"/>
              <w:spacing w:after="0"/>
              <w:rPr>
                <w:sz w:val="20"/>
                <w:szCs w:val="20"/>
                <w:color w:val="auto"/>
              </w:rPr>
            </w:pPr>
            <w:r>
              <w:rPr>
                <w:rFonts w:ascii="Times New Roman" w:cs="Times New Roman" w:eastAsia="Times New Roman" w:hAnsi="Times New Roman"/>
                <w:sz w:val="18"/>
                <w:szCs w:val="18"/>
                <w:b w:val="1"/>
                <w:bCs w:val="1"/>
                <w:color w:val="auto"/>
                <w:w w:val="97"/>
              </w:rPr>
              <w:t>(713) 960-9111</w:t>
            </w:r>
          </w:p>
        </w:tc>
        <w:tc>
          <w:tcPr>
            <w:tcW w:w="52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190"/>
        </w:trPr>
        <w:tc>
          <w:tcPr>
            <w:tcW w:w="1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60" w:type="dxa"/>
            <w:vAlign w:val="bottom"/>
            <w:gridSpan w:val="2"/>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900" w:type="dxa"/>
            <w:vAlign w:val="bottom"/>
          </w:tcPr>
          <w:p>
            <w:pPr>
              <w:spacing w:after="0"/>
              <w:rPr>
                <w:sz w:val="16"/>
                <w:szCs w:val="16"/>
                <w:color w:val="auto"/>
              </w:rPr>
            </w:pPr>
          </w:p>
        </w:tc>
      </w:tr>
      <w:tr>
        <w:trPr>
          <w:trHeight w:val="469"/>
        </w:trPr>
        <w:tc>
          <w:tcPr>
            <w:tcW w:w="7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900" w:type="dxa"/>
            <w:vAlign w:val="bottom"/>
          </w:tcPr>
          <w:p>
            <w:pPr>
              <w:spacing w:after="0"/>
              <w:rPr>
                <w:sz w:val="24"/>
                <w:szCs w:val="24"/>
                <w:color w:val="auto"/>
              </w:rPr>
            </w:pPr>
          </w:p>
        </w:tc>
      </w:tr>
      <w:tr>
        <w:trPr>
          <w:trHeight w:val="108"/>
        </w:trPr>
        <w:tc>
          <w:tcPr>
            <w:tcW w:w="140" w:type="dxa"/>
            <w:vAlign w:val="bottom"/>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9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900" w:type="dxa"/>
            <w:vAlign w:val="bottom"/>
            <w:tcBorders>
              <w:bottom w:val="single" w:sz="8" w:color="auto"/>
            </w:tcBorders>
          </w:tcPr>
          <w:p>
            <w:pPr>
              <w:spacing w:after="0"/>
              <w:rPr>
                <w:sz w:val="9"/>
                <w:szCs w:val="9"/>
                <w:color w:val="auto"/>
              </w:rPr>
            </w:pPr>
          </w:p>
        </w:tc>
      </w:tr>
      <w:tr>
        <w:trPr>
          <w:trHeight w:val="223"/>
        </w:trPr>
        <w:tc>
          <w:tcPr>
            <w:tcW w:w="140" w:type="dxa"/>
            <w:vAlign w:val="bottom"/>
            <w:tcBorders>
              <w:right w:val="single" w:sz="8" w:color="auto"/>
            </w:tcBorders>
          </w:tcPr>
          <w:p>
            <w:pPr>
              <w:spacing w:after="0"/>
              <w:rPr>
                <w:sz w:val="19"/>
                <w:szCs w:val="19"/>
                <w:color w:val="auto"/>
              </w:rPr>
            </w:pPr>
          </w:p>
        </w:tc>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400" w:type="dxa"/>
            <w:vAlign w:val="bottom"/>
            <w:tcBorders>
              <w:bottom w:val="single" w:sz="8" w:color="auto"/>
            </w:tcBorders>
          </w:tcPr>
          <w:p>
            <w:pPr>
              <w:spacing w:after="0"/>
              <w:rPr>
                <w:sz w:val="19"/>
                <w:szCs w:val="19"/>
                <w:color w:val="auto"/>
              </w:rPr>
            </w:pPr>
          </w:p>
        </w:tc>
        <w:tc>
          <w:tcPr>
            <w:tcW w:w="2940" w:type="dxa"/>
            <w:vAlign w:val="bottom"/>
            <w:tcBorders>
              <w:bottom w:val="single" w:sz="8" w:color="auto"/>
              <w:right w:val="single" w:sz="8" w:color="auto"/>
            </w:tcBorders>
          </w:tcPr>
          <w:p>
            <w:pPr>
              <w:jc w:val="center"/>
              <w:ind w:right="335"/>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520" w:type="dxa"/>
            <w:vAlign w:val="bottom"/>
            <w:tcBorders>
              <w:bottom w:val="single" w:sz="8" w:color="auto"/>
            </w:tcBorders>
          </w:tcPr>
          <w:p>
            <w:pPr>
              <w:spacing w:after="0"/>
              <w:rPr>
                <w:sz w:val="19"/>
                <w:szCs w:val="19"/>
                <w:color w:val="auto"/>
              </w:rPr>
            </w:pPr>
          </w:p>
        </w:tc>
        <w:tc>
          <w:tcPr>
            <w:tcW w:w="3900" w:type="dxa"/>
            <w:vAlign w:val="bottom"/>
            <w:tcBorders>
              <w:bottom w:val="single" w:sz="8" w:color="auto"/>
              <w:right w:val="single" w:sz="8" w:color="auto"/>
            </w:tcBorders>
          </w:tcPr>
          <w:p>
            <w:pPr>
              <w:jc w:val="center"/>
              <w:ind w:right="476"/>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140" w:type="dxa"/>
            <w:vAlign w:val="bottom"/>
            <w:tcBorders>
              <w:right w:val="single" w:sz="8" w:color="auto"/>
            </w:tcBorders>
          </w:tcPr>
          <w:p>
            <w:pPr>
              <w:spacing w:after="0"/>
              <w:rPr>
                <w:sz w:val="19"/>
                <w:szCs w:val="19"/>
                <w:color w:val="auto"/>
              </w:rPr>
            </w:pPr>
          </w:p>
        </w:tc>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400" w:type="dxa"/>
            <w:vAlign w:val="bottom"/>
            <w:tcBorders>
              <w:bottom w:val="single" w:sz="8" w:color="auto"/>
            </w:tcBorders>
          </w:tcPr>
          <w:p>
            <w:pPr>
              <w:spacing w:after="0"/>
              <w:rPr>
                <w:sz w:val="19"/>
                <w:szCs w:val="19"/>
                <w:color w:val="auto"/>
              </w:rPr>
            </w:pPr>
          </w:p>
        </w:tc>
        <w:tc>
          <w:tcPr>
            <w:tcW w:w="2940" w:type="dxa"/>
            <w:vAlign w:val="bottom"/>
            <w:tcBorders>
              <w:bottom w:val="single" w:sz="8" w:color="auto"/>
              <w:right w:val="single" w:sz="8" w:color="auto"/>
            </w:tcBorders>
          </w:tcPr>
          <w:p>
            <w:pPr>
              <w:jc w:val="center"/>
              <w:ind w:right="335"/>
              <w:spacing w:after="0"/>
              <w:rPr>
                <w:sz w:val="20"/>
                <w:szCs w:val="20"/>
                <w:color w:val="auto"/>
              </w:rPr>
            </w:pPr>
            <w:r>
              <w:rPr>
                <w:rFonts w:ascii="Times New Roman" w:cs="Times New Roman" w:eastAsia="Times New Roman" w:hAnsi="Times New Roman"/>
                <w:sz w:val="18"/>
                <w:szCs w:val="18"/>
                <w:color w:val="auto"/>
                <w:w w:val="97"/>
              </w:rPr>
              <w:t>WLK</w:t>
            </w:r>
          </w:p>
        </w:tc>
        <w:tc>
          <w:tcPr>
            <w:tcW w:w="520" w:type="dxa"/>
            <w:vAlign w:val="bottom"/>
            <w:tcBorders>
              <w:bottom w:val="single" w:sz="8" w:color="auto"/>
            </w:tcBorders>
          </w:tcPr>
          <w:p>
            <w:pPr>
              <w:spacing w:after="0"/>
              <w:rPr>
                <w:sz w:val="19"/>
                <w:szCs w:val="19"/>
                <w:color w:val="auto"/>
              </w:rPr>
            </w:pPr>
          </w:p>
        </w:tc>
        <w:tc>
          <w:tcPr>
            <w:tcW w:w="3900" w:type="dxa"/>
            <w:vAlign w:val="bottom"/>
            <w:tcBorders>
              <w:bottom w:val="single" w:sz="8" w:color="auto"/>
              <w:right w:val="single" w:sz="8" w:color="auto"/>
            </w:tcBorders>
          </w:tcPr>
          <w:p>
            <w:pPr>
              <w:jc w:val="center"/>
              <w:ind w:right="456"/>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r>
        <w:trPr>
          <w:trHeight w:val="223"/>
        </w:trPr>
        <w:tc>
          <w:tcPr>
            <w:tcW w:w="140" w:type="dxa"/>
            <w:vAlign w:val="bottom"/>
            <w:tcBorders>
              <w:right w:val="single" w:sz="8" w:color="auto"/>
            </w:tcBorders>
          </w:tcPr>
          <w:p>
            <w:pPr>
              <w:spacing w:after="0"/>
              <w:rPr>
                <w:sz w:val="19"/>
                <w:szCs w:val="19"/>
                <w:color w:val="auto"/>
              </w:rPr>
            </w:pPr>
          </w:p>
        </w:tc>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1.625% Senior Notes due 2029</w:t>
            </w:r>
          </w:p>
        </w:tc>
        <w:tc>
          <w:tcPr>
            <w:tcW w:w="400" w:type="dxa"/>
            <w:vAlign w:val="bottom"/>
            <w:tcBorders>
              <w:bottom w:val="single" w:sz="8" w:color="auto"/>
            </w:tcBorders>
          </w:tcPr>
          <w:p>
            <w:pPr>
              <w:spacing w:after="0"/>
              <w:rPr>
                <w:sz w:val="19"/>
                <w:szCs w:val="19"/>
                <w:color w:val="auto"/>
              </w:rPr>
            </w:pPr>
          </w:p>
        </w:tc>
        <w:tc>
          <w:tcPr>
            <w:tcW w:w="2940" w:type="dxa"/>
            <w:vAlign w:val="bottom"/>
            <w:tcBorders>
              <w:bottom w:val="single" w:sz="8" w:color="auto"/>
              <w:right w:val="single" w:sz="8" w:color="auto"/>
            </w:tcBorders>
          </w:tcPr>
          <w:p>
            <w:pPr>
              <w:jc w:val="center"/>
              <w:ind w:right="335"/>
              <w:spacing w:after="0"/>
              <w:rPr>
                <w:sz w:val="20"/>
                <w:szCs w:val="20"/>
                <w:color w:val="auto"/>
              </w:rPr>
            </w:pPr>
            <w:r>
              <w:rPr>
                <w:rFonts w:ascii="Times New Roman" w:cs="Times New Roman" w:eastAsia="Times New Roman" w:hAnsi="Times New Roman"/>
                <w:sz w:val="18"/>
                <w:szCs w:val="18"/>
                <w:color w:val="auto"/>
              </w:rPr>
              <w:t>WLK29</w:t>
            </w:r>
          </w:p>
        </w:tc>
        <w:tc>
          <w:tcPr>
            <w:tcW w:w="520" w:type="dxa"/>
            <w:vAlign w:val="bottom"/>
            <w:tcBorders>
              <w:bottom w:val="single" w:sz="8" w:color="auto"/>
            </w:tcBorders>
          </w:tcPr>
          <w:p>
            <w:pPr>
              <w:spacing w:after="0"/>
              <w:rPr>
                <w:sz w:val="19"/>
                <w:szCs w:val="19"/>
                <w:color w:val="auto"/>
              </w:rPr>
            </w:pPr>
          </w:p>
        </w:tc>
        <w:tc>
          <w:tcPr>
            <w:tcW w:w="3900" w:type="dxa"/>
            <w:vAlign w:val="bottom"/>
            <w:tcBorders>
              <w:bottom w:val="single" w:sz="8" w:color="auto"/>
              <w:right w:val="single" w:sz="8" w:color="auto"/>
            </w:tcBorders>
          </w:tcPr>
          <w:p>
            <w:pPr>
              <w:jc w:val="center"/>
              <w:ind w:right="456"/>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200" w:lineRule="exact"/>
        <w:rPr>
          <w:sz w:val="24"/>
          <w:szCs w:val="24"/>
          <w:color w:val="auto"/>
        </w:rPr>
      </w:pPr>
    </w:p>
    <w:p>
      <w:pPr>
        <w:spacing w:after="0" w:line="214" w:lineRule="exact"/>
        <w:rPr>
          <w:sz w:val="24"/>
          <w:szCs w:val="24"/>
          <w:color w:val="auto"/>
        </w:rPr>
      </w:pPr>
    </w:p>
    <w:p>
      <w:pPr>
        <w:ind w:right="2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17" w:lineRule="exact"/>
        <w:rPr>
          <w:sz w:val="24"/>
          <w:szCs w:val="24"/>
          <w:color w:val="auto"/>
        </w:rPr>
      </w:pPr>
    </w:p>
    <w:p>
      <w:pPr>
        <w:ind w:right="3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16"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Large accelerated filer</w:t>
            </w:r>
          </w:p>
        </w:tc>
        <w:tc>
          <w:tcPr>
            <w:tcW w:w="3040" w:type="dxa"/>
            <w:vAlign w:val="bottom"/>
          </w:tcPr>
          <w:p>
            <w:pPr>
              <w:ind w:left="640"/>
              <w:spacing w:after="0"/>
              <w:rPr>
                <w:sz w:val="20"/>
                <w:szCs w:val="20"/>
                <w:color w:val="auto"/>
              </w:rPr>
            </w:pPr>
            <w:r>
              <w:rPr>
                <w:rFonts w:ascii="Wingdings" w:cs="Wingdings" w:eastAsia="Wingdings" w:hAnsi="Wingdings"/>
                <w:sz w:val="18"/>
                <w:szCs w:val="18"/>
                <w:b w:val="1"/>
                <w:bCs w:val="1"/>
                <w:color w:val="auto"/>
              </w:rPr>
              <w:t>x</w:t>
            </w:r>
          </w:p>
        </w:tc>
        <w:tc>
          <w:tcPr>
            <w:tcW w:w="4840" w:type="dxa"/>
            <w:vAlign w:val="bottom"/>
          </w:tcPr>
          <w:p>
            <w:pPr>
              <w:ind w:left="2200"/>
              <w:spacing w:after="0"/>
              <w:rPr>
                <w:sz w:val="20"/>
                <w:szCs w:val="20"/>
                <w:color w:val="auto"/>
              </w:rPr>
            </w:pPr>
            <w:r>
              <w:rPr>
                <w:rFonts w:ascii="Times New Roman" w:cs="Times New Roman" w:eastAsia="Times New Roman" w:hAnsi="Times New Roman"/>
                <w:sz w:val="18"/>
                <w:szCs w:val="18"/>
                <w:b w:val="1"/>
                <w:bCs w:val="1"/>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Non-accelerated filer</w:t>
            </w:r>
          </w:p>
        </w:tc>
        <w:tc>
          <w:tcPr>
            <w:tcW w:w="304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200"/>
              <w:spacing w:after="0"/>
              <w:rPr>
                <w:sz w:val="20"/>
                <w:szCs w:val="20"/>
                <w:color w:val="auto"/>
              </w:rPr>
            </w:pPr>
            <w:r>
              <w:rPr>
                <w:rFonts w:ascii="Times New Roman" w:cs="Times New Roman" w:eastAsia="Times New Roman" w:hAnsi="Times New Roman"/>
                <w:sz w:val="18"/>
                <w:szCs w:val="18"/>
                <w:b w:val="1"/>
                <w:bCs w:val="1"/>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840" w:type="dxa"/>
            <w:vAlign w:val="bottom"/>
          </w:tcPr>
          <w:p>
            <w:pPr>
              <w:ind w:left="2200"/>
              <w:spacing w:after="0"/>
              <w:rPr>
                <w:sz w:val="20"/>
                <w:szCs w:val="20"/>
                <w:color w:val="auto"/>
              </w:rPr>
            </w:pPr>
            <w:r>
              <w:rPr>
                <w:rFonts w:ascii="Times New Roman" w:cs="Times New Roman" w:eastAsia="Times New Roman" w:hAnsi="Times New Roman"/>
                <w:sz w:val="18"/>
                <w:szCs w:val="18"/>
                <w:b w:val="1"/>
                <w:bCs w:val="1"/>
                <w:color w:val="auto"/>
              </w:rPr>
              <w:t>Emerging growth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10" w:lineRule="exact"/>
        <w:rPr>
          <w:sz w:val="24"/>
          <w:szCs w:val="24"/>
          <w:color w:val="auto"/>
        </w:rPr>
      </w:pPr>
    </w:p>
    <w:p>
      <w:pPr>
        <w:ind w:right="1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4"/>
          <w:szCs w:val="24"/>
          <w:color w:val="auto"/>
        </w:rPr>
      </w:pPr>
    </w:p>
    <w:p>
      <w:pPr>
        <w:ind w:right="1520"/>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The number of shares outstanding of the registrant's sole class of common stock as of August 2, 2024 was 128,585,642.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7" w:right="379" w:bottom="731"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20" w:type="dxa"/>
            <w:vAlign w:val="bottom"/>
          </w:tcPr>
          <w:p>
            <w:pPr>
              <w:spacing w:after="0"/>
              <w:rPr>
                <w:sz w:val="16"/>
                <w:szCs w:val="16"/>
                <w:color w:val="auto"/>
              </w:rPr>
            </w:pP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Item</w:t>
            </w:r>
          </w:p>
        </w:tc>
        <w:tc>
          <w:tcPr>
            <w:tcW w:w="320" w:type="dxa"/>
            <w:vAlign w:val="bottom"/>
            <w:vMerge w:val="restart"/>
          </w:tcPr>
          <w:p>
            <w:pPr>
              <w:spacing w:after="0"/>
              <w:rPr>
                <w:sz w:val="2"/>
                <w:szCs w:val="2"/>
                <w:color w:val="auto"/>
              </w:rPr>
            </w:pPr>
          </w:p>
        </w:tc>
        <w:tc>
          <w:tcPr>
            <w:tcW w:w="9820" w:type="dxa"/>
            <w:vAlign w:val="bottom"/>
            <w:vMerge w:val="restart"/>
          </w:tcPr>
          <w:p>
            <w:pPr>
              <w:ind w:left="33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982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2"/>
                <w:szCs w:val="12"/>
                <w:color w:val="auto"/>
              </w:rPr>
            </w:pPr>
          </w:p>
        </w:tc>
        <w:tc>
          <w:tcPr>
            <w:tcW w:w="300" w:type="dxa"/>
            <w:vAlign w:val="bottom"/>
            <w:tcBorders>
              <w:bottom w:val="single" w:sz="8" w:color="auto"/>
            </w:tcBorders>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9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4"/>
        </w:trPr>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20" w:type="dxa"/>
            <w:vAlign w:val="bottom"/>
          </w:tcPr>
          <w:p>
            <w:pPr>
              <w:ind w:left="344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1"/>
        </w:trPr>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1A)</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4"/>
        </w:trPr>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Exhibits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208"/>
        </w:trPr>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8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367"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6"/>
        </w:trPr>
        <w:tc>
          <w:tcPr>
            <w:tcW w:w="8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80" w:type="dxa"/>
            <w:vAlign w:val="bottom"/>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(in millions of dollars, except</w:t>
            </w:r>
          </w:p>
        </w:tc>
        <w:tc>
          <w:tcPr>
            <w:tcW w:w="0" w:type="dxa"/>
            <w:vAlign w:val="bottom"/>
          </w:tcPr>
          <w:p>
            <w:pPr>
              <w:spacing w:after="0"/>
              <w:rPr>
                <w:sz w:val="1"/>
                <w:szCs w:val="1"/>
                <w:color w:val="auto"/>
              </w:rPr>
            </w:pPr>
          </w:p>
        </w:tc>
      </w:tr>
      <w:tr>
        <w:trPr>
          <w:trHeight w:val="195"/>
        </w:trPr>
        <w:tc>
          <w:tcPr>
            <w:tcW w:w="8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par values and share amounts)</w:t>
            </w:r>
          </w:p>
        </w:tc>
        <w:tc>
          <w:tcPr>
            <w:tcW w:w="0" w:type="dxa"/>
            <w:vAlign w:val="bottom"/>
          </w:tcPr>
          <w:p>
            <w:pPr>
              <w:spacing w:after="0"/>
              <w:rPr>
                <w:sz w:val="1"/>
                <w:szCs w:val="1"/>
                <w:color w:val="auto"/>
              </w:rPr>
            </w:pPr>
          </w:p>
        </w:tc>
      </w:tr>
      <w:tr>
        <w:trPr>
          <w:trHeight w:val="235"/>
        </w:trPr>
        <w:tc>
          <w:tcPr>
            <w:tcW w:w="8260" w:type="dxa"/>
            <w:vAlign w:val="bottom"/>
            <w:shd w:val="clear" w:color="auto" w:fill="CCEEFF"/>
          </w:tcPr>
          <w:p>
            <w:pPr>
              <w:ind w:left="37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6,609</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 net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21,035</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9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 net</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and other post-retirement benefits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10,271</w:t>
            </w:r>
          </w:p>
        </w:tc>
        <w:tc>
          <w:tcPr>
            <w:tcW w:w="0" w:type="dxa"/>
            <w:vAlign w:val="bottom"/>
          </w:tcPr>
          <w:p>
            <w:pPr>
              <w:spacing w:after="0"/>
              <w:rPr>
                <w:sz w:val="1"/>
                <w:szCs w:val="1"/>
                <w:color w:val="auto"/>
              </w:rPr>
            </w:pPr>
          </w:p>
        </w:tc>
      </w:tr>
      <w:tr>
        <w:trPr>
          <w:trHeight w:val="21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 $0.01 par value, 50,000,000 shares authorized; no shares issued and outstanding</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26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$0.01 par value, 300,000,000 shares authorized; 134,651,380 and 134,651,380 shares</w:t>
            </w: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issued at June 30, 2024 and December 31, 2023, respectively</w:t>
            </w: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75"/>
        </w:trPr>
        <w:tc>
          <w:tcPr>
            <w:tcW w:w="82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held in treasury, at cost; 6,068,013 and 6,439,289 shares at June 30, 2024 and</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10,143</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Westlake Corporation stockholders' equity</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10,241</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equity</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10,764</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21,035</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268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9"/>
        </w:trPr>
        <w:tc>
          <w:tcPr>
            <w:tcW w:w="5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760" w:type="dxa"/>
            <w:vAlign w:val="bottom"/>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 of dollars, except per share data and share amounts)</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6,607</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5,173</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Restructuring, transaction and integration-related costs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Westlake Corporation</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common share attributable to Westlake Corporation: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1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29"/>
        </w:trPr>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128,576,735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127,649,341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128,468,359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127,599,093</w:t>
            </w: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129,350,720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128,484,016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129,185,545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128,471,760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304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00" w:type="dxa"/>
            <w:vAlign w:val="bottom"/>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5220" w:type="dxa"/>
            <w:vAlign w:val="bottom"/>
          </w:tcPr>
          <w:p>
            <w:pPr>
              <w:spacing w:after="0"/>
              <w:rPr>
                <w:sz w:val="16"/>
                <w:szCs w:val="16"/>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9"/>
        </w:trPr>
        <w:tc>
          <w:tcPr>
            <w:tcW w:w="5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
        </w:trPr>
        <w:tc>
          <w:tcPr>
            <w:tcW w:w="5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income taxes</w:t>
            </w: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Pension and other post-retirement benefits liability</w:t>
            </w: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176"/>
        </w:trPr>
        <w:tc>
          <w:tcPr>
            <w:tcW w:w="5220" w:type="dxa"/>
            <w:vAlign w:val="bottom"/>
          </w:tcPr>
          <w:p>
            <w:pPr>
              <w:ind w:left="660"/>
              <w:spacing w:after="0" w:line="176" w:lineRule="exact"/>
              <w:rPr>
                <w:sz w:val="20"/>
                <w:szCs w:val="20"/>
                <w:color w:val="auto"/>
              </w:rPr>
            </w:pPr>
            <w:r>
              <w:rPr>
                <w:rFonts w:ascii="Times New Roman" w:cs="Times New Roman" w:eastAsia="Times New Roman" w:hAnsi="Times New Roman"/>
                <w:sz w:val="18"/>
                <w:szCs w:val="18"/>
                <w:color w:val="auto"/>
              </w:rPr>
              <w:t>Pension and other post-retirement benefits reserves</w:t>
            </w: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3"/>
        </w:trPr>
        <w:tc>
          <w:tcPr>
            <w:tcW w:w="52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adjustment</w:t>
            </w:r>
          </w:p>
        </w:tc>
        <w:tc>
          <w:tcPr>
            <w:tcW w:w="9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5220" w:type="dxa"/>
            <w:vAlign w:val="bottom"/>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Income tax provision on pension and other post-retirement</w:t>
            </w:r>
          </w:p>
        </w:tc>
        <w:tc>
          <w:tcPr>
            <w:tcW w:w="9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43"/>
        </w:trPr>
        <w:tc>
          <w:tcPr>
            <w:tcW w:w="52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benefits liability</w:t>
            </w:r>
          </w:p>
        </w:tc>
        <w:tc>
          <w:tcPr>
            <w:tcW w:w="96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5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176"/>
        </w:trPr>
        <w:tc>
          <w:tcPr>
            <w:tcW w:w="5220" w:type="dxa"/>
            <w:vAlign w:val="bottom"/>
          </w:tcPr>
          <w:p>
            <w:pPr>
              <w:ind w:left="660"/>
              <w:spacing w:after="0" w:line="176" w:lineRule="exact"/>
              <w:rPr>
                <w:sz w:val="20"/>
                <w:szCs w:val="20"/>
                <w:color w:val="auto"/>
              </w:rPr>
            </w:pPr>
            <w:r>
              <w:rPr>
                <w:rFonts w:ascii="Times New Roman" w:cs="Times New Roman" w:eastAsia="Times New Roman" w:hAnsi="Times New Roman"/>
                <w:sz w:val="18"/>
                <w:szCs w:val="18"/>
                <w:color w:val="auto"/>
              </w:rPr>
              <w:t>Income tax (provision) benefit on foreign currency</w:t>
            </w: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3"/>
        </w:trPr>
        <w:tc>
          <w:tcPr>
            <w:tcW w:w="52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translation</w:t>
            </w:r>
          </w:p>
        </w:tc>
        <w:tc>
          <w:tcPr>
            <w:tcW w:w="9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5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net of income tax</w:t>
            </w:r>
          </w:p>
        </w:tc>
        <w:tc>
          <w:tcPr>
            <w:tcW w:w="9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income taxes</w:t>
            </w:r>
          </w:p>
        </w:tc>
        <w:tc>
          <w:tcPr>
            <w:tcW w:w="96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9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r>
      <w:tr>
        <w:trPr>
          <w:trHeight w:val="156"/>
        </w:trPr>
        <w:tc>
          <w:tcPr>
            <w:tcW w:w="522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5"/>
        </w:trPr>
        <w:tc>
          <w:tcPr>
            <w:tcW w:w="5220" w:type="dxa"/>
            <w:vAlign w:val="bottom"/>
          </w:tcPr>
          <w:p>
            <w:pPr>
              <w:ind w:left="500"/>
              <w:spacing w:after="0" w:line="176" w:lineRule="exact"/>
              <w:rPr>
                <w:sz w:val="20"/>
                <w:szCs w:val="20"/>
                <w:color w:val="auto"/>
              </w:rPr>
            </w:pPr>
            <w:r>
              <w:rPr>
                <w:rFonts w:ascii="Times New Roman" w:cs="Times New Roman" w:eastAsia="Times New Roman" w:hAnsi="Times New Roman"/>
                <w:sz w:val="18"/>
                <w:szCs w:val="18"/>
                <w:color w:val="auto"/>
              </w:rPr>
              <w:t>net of tax of $1 and $1 for the three months ended June 30,</w:t>
            </w: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4"/>
        </w:trPr>
        <w:tc>
          <w:tcPr>
            <w:tcW w:w="5220" w:type="dxa"/>
            <w:vAlign w:val="bottom"/>
          </w:tcPr>
          <w:p>
            <w:pPr>
              <w:ind w:left="500"/>
              <w:spacing w:after="0" w:line="184" w:lineRule="exact"/>
              <w:rPr>
                <w:sz w:val="20"/>
                <w:szCs w:val="20"/>
                <w:color w:val="auto"/>
              </w:rPr>
            </w:pPr>
            <w:r>
              <w:rPr>
                <w:rFonts w:ascii="Times New Roman" w:cs="Times New Roman" w:eastAsia="Times New Roman" w:hAnsi="Times New Roman"/>
                <w:sz w:val="18"/>
                <w:szCs w:val="18"/>
                <w:color w:val="auto"/>
              </w:rPr>
              <w:t>2024 and 2023; and net of tax of $2 and $2 for the six months</w:t>
            </w: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4"/>
        </w:trPr>
        <w:tc>
          <w:tcPr>
            <w:tcW w:w="522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ended June 30, 2024 and 2023, respectively</w:t>
            </w:r>
          </w:p>
        </w:tc>
        <w:tc>
          <w:tcPr>
            <w:tcW w:w="9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Westlake Corporation</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60" w:type="dxa"/>
            <w:vAlign w:val="bottom"/>
          </w:tcPr>
          <w:p>
            <w:pPr>
              <w:spacing w:after="0"/>
              <w:rPr>
                <w:sz w:val="12"/>
                <w:szCs w:val="12"/>
                <w:color w:val="auto"/>
              </w:rPr>
            </w:pPr>
          </w:p>
        </w:tc>
        <w:tc>
          <w:tcPr>
            <w:tcW w:w="2060" w:type="dxa"/>
            <w:vAlign w:val="bottom"/>
            <w:gridSpan w:val="5"/>
            <w:vMerge w:val="restart"/>
          </w:tcPr>
          <w:p>
            <w:pPr>
              <w:ind w:left="5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40" w:type="dxa"/>
            <w:vAlign w:val="bottom"/>
            <w:gridSpan w:val="5"/>
          </w:tcPr>
          <w:p>
            <w:pPr>
              <w:ind w:left="280"/>
              <w:spacing w:after="0"/>
              <w:rPr>
                <w:sz w:val="20"/>
                <w:szCs w:val="20"/>
                <w:color w:val="auto"/>
              </w:rPr>
            </w:pPr>
            <w:r>
              <w:rPr>
                <w:rFonts w:ascii="Times New Roman" w:cs="Times New Roman" w:eastAsia="Times New Roman" w:hAnsi="Times New Roman"/>
                <w:sz w:val="13"/>
                <w:szCs w:val="13"/>
                <w:b w:val="1"/>
                <w:bCs w:val="1"/>
                <w:color w:val="auto"/>
              </w:rPr>
              <w:t>Common Stock, Held in</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60" w:type="dxa"/>
            <w:vAlign w:val="bottom"/>
          </w:tcPr>
          <w:p>
            <w:pPr>
              <w:spacing w:after="0"/>
              <w:rPr>
                <w:sz w:val="15"/>
                <w:szCs w:val="15"/>
                <w:color w:val="auto"/>
              </w:rPr>
            </w:pPr>
          </w:p>
        </w:tc>
        <w:tc>
          <w:tcPr>
            <w:tcW w:w="2060" w:type="dxa"/>
            <w:vAlign w:val="bottom"/>
            <w:gridSpan w:val="5"/>
            <w:vMerge w:val="continue"/>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6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60" w:type="dxa"/>
            <w:vAlign w:val="bottom"/>
          </w:tcPr>
          <w:p>
            <w:pPr>
              <w:spacing w:after="0"/>
              <w:rPr>
                <w:sz w:val="11"/>
                <w:szCs w:val="11"/>
                <w:color w:val="auto"/>
              </w:rPr>
            </w:pPr>
          </w:p>
        </w:tc>
        <w:tc>
          <w:tcPr>
            <w:tcW w:w="10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60" w:type="dxa"/>
            <w:vAlign w:val="bottom"/>
          </w:tcPr>
          <w:p>
            <w:pPr>
              <w:spacing w:after="0"/>
              <w:rPr>
                <w:sz w:val="11"/>
                <w:szCs w:val="11"/>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200" w:type="dxa"/>
            <w:vAlign w:val="bottom"/>
          </w:tcPr>
          <w:p>
            <w:pPr>
              <w:spacing w:after="0"/>
              <w:rPr>
                <w:sz w:val="11"/>
                <w:szCs w:val="11"/>
                <w:color w:val="auto"/>
              </w:rPr>
            </w:pPr>
          </w:p>
        </w:tc>
        <w:tc>
          <w:tcPr>
            <w:tcW w:w="84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04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restart"/>
          </w:tcPr>
          <w:p>
            <w:pPr>
              <w:jc w:val="right"/>
              <w:ind w:right="131"/>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vMerge w:val="restart"/>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vMerge w:val="restart"/>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At Cost</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4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4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restart"/>
          </w:tcPr>
          <w:p>
            <w:pPr>
              <w:jc w:val="right"/>
              <w:ind w:right="25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2060" w:type="dxa"/>
            <w:vAlign w:val="bottom"/>
          </w:tcPr>
          <w:p>
            <w:pPr>
              <w:spacing w:after="0"/>
              <w:rPr>
                <w:sz w:val="15"/>
                <w:szCs w:val="15"/>
                <w:color w:val="auto"/>
              </w:rPr>
            </w:pPr>
          </w:p>
        </w:tc>
        <w:tc>
          <w:tcPr>
            <w:tcW w:w="9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9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Paid-in Capital</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80" w:type="dxa"/>
            <w:vAlign w:val="bottom"/>
          </w:tcPr>
          <w:p>
            <w:pPr>
              <w:spacing w:after="0"/>
              <w:rPr>
                <w:sz w:val="15"/>
                <w:szCs w:val="15"/>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40" w:type="dxa"/>
            <w:vAlign w:val="bottom"/>
            <w:gridSpan w:val="8"/>
          </w:tcPr>
          <w:p>
            <w:pPr>
              <w:spacing w:after="0"/>
              <w:rPr>
                <w:sz w:val="20"/>
                <w:szCs w:val="20"/>
                <w:color w:val="auto"/>
              </w:rPr>
            </w:pPr>
            <w:r>
              <w:rPr>
                <w:rFonts w:ascii="Times New Roman" w:cs="Times New Roman" w:eastAsia="Times New Roman" w:hAnsi="Times New Roman"/>
                <w:sz w:val="13"/>
                <w:szCs w:val="13"/>
                <w:b w:val="1"/>
                <w:bCs w:val="1"/>
                <w:color w:val="auto"/>
              </w:rPr>
              <w:t>(in millions of dollars, except share amounts)</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6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Balances at</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134,651,380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6,439,289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10,764</w:t>
            </w:r>
          </w:p>
        </w:tc>
        <w:tc>
          <w:tcPr>
            <w:tcW w:w="0" w:type="dxa"/>
            <w:vAlign w:val="bottom"/>
          </w:tcPr>
          <w:p>
            <w:pPr>
              <w:spacing w:after="0"/>
              <w:rPr>
                <w:sz w:val="1"/>
                <w:szCs w:val="1"/>
                <w:color w:val="auto"/>
              </w:rPr>
            </w:pPr>
          </w:p>
        </w:tc>
      </w:tr>
      <w:tr>
        <w:trPr>
          <w:trHeight w:val="229"/>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76"/>
        </w:trPr>
        <w:tc>
          <w:tcPr>
            <w:tcW w:w="2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issued—stock-</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based compensation</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(357,118)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76"/>
        </w:trPr>
        <w:tc>
          <w:tcPr>
            <w:tcW w:w="2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Distributions to</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56"/>
        </w:trPr>
        <w:tc>
          <w:tcPr>
            <w:tcW w:w="20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Balances at March 31,</w:t>
            </w:r>
          </w:p>
        </w:tc>
        <w:tc>
          <w:tcPr>
            <w:tcW w:w="9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134,651,380</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6,082,171</w:t>
            </w:r>
          </w:p>
        </w:tc>
        <w:tc>
          <w:tcPr>
            <w:tcW w:w="8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10,252</w:t>
            </w:r>
          </w:p>
        </w:tc>
        <w:tc>
          <w:tcPr>
            <w:tcW w:w="8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10,853</w:t>
            </w: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29"/>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76"/>
        </w:trPr>
        <w:tc>
          <w:tcPr>
            <w:tcW w:w="2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issued—stock-</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based compensation</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75"/>
        </w:trPr>
        <w:tc>
          <w:tcPr>
            <w:tcW w:w="2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Distributions to</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55"/>
        </w:trPr>
        <w:tc>
          <w:tcPr>
            <w:tcW w:w="206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Balances at June 30,</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134,651,380</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6,068,013</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11,094</w:t>
            </w:r>
          </w:p>
        </w:tc>
        <w:tc>
          <w:tcPr>
            <w:tcW w:w="0" w:type="dxa"/>
            <w:vAlign w:val="bottom"/>
          </w:tcPr>
          <w:p>
            <w:pPr>
              <w:spacing w:after="0"/>
              <w:rPr>
                <w:sz w:val="1"/>
                <w:szCs w:val="1"/>
                <w:color w:val="auto"/>
              </w:rPr>
            </w:pPr>
          </w:p>
        </w:tc>
      </w:tr>
      <w:tr>
        <w:trPr>
          <w:trHeight w:val="236"/>
        </w:trPr>
        <w:tc>
          <w:tcPr>
            <w:tcW w:w="2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60" w:type="dxa"/>
            <w:vAlign w:val="bottom"/>
          </w:tcPr>
          <w:p>
            <w:pPr>
              <w:spacing w:after="0"/>
              <w:rPr>
                <w:sz w:val="12"/>
                <w:szCs w:val="12"/>
                <w:color w:val="auto"/>
              </w:rPr>
            </w:pPr>
          </w:p>
        </w:tc>
        <w:tc>
          <w:tcPr>
            <w:tcW w:w="2060" w:type="dxa"/>
            <w:vAlign w:val="bottom"/>
            <w:gridSpan w:val="5"/>
            <w:vMerge w:val="restart"/>
          </w:tcPr>
          <w:p>
            <w:pPr>
              <w:ind w:left="5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40" w:type="dxa"/>
            <w:vAlign w:val="bottom"/>
            <w:gridSpan w:val="5"/>
          </w:tcPr>
          <w:p>
            <w:pPr>
              <w:ind w:left="280"/>
              <w:spacing w:after="0"/>
              <w:rPr>
                <w:sz w:val="20"/>
                <w:szCs w:val="20"/>
                <w:color w:val="auto"/>
              </w:rPr>
            </w:pPr>
            <w:r>
              <w:rPr>
                <w:rFonts w:ascii="Times New Roman" w:cs="Times New Roman" w:eastAsia="Times New Roman" w:hAnsi="Times New Roman"/>
                <w:sz w:val="13"/>
                <w:szCs w:val="13"/>
                <w:b w:val="1"/>
                <w:bCs w:val="1"/>
                <w:color w:val="auto"/>
              </w:rPr>
              <w:t>Common Stock, Held in</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60" w:type="dxa"/>
            <w:vAlign w:val="bottom"/>
          </w:tcPr>
          <w:p>
            <w:pPr>
              <w:spacing w:after="0"/>
              <w:rPr>
                <w:sz w:val="15"/>
                <w:szCs w:val="15"/>
                <w:color w:val="auto"/>
              </w:rPr>
            </w:pPr>
          </w:p>
        </w:tc>
        <w:tc>
          <w:tcPr>
            <w:tcW w:w="2060" w:type="dxa"/>
            <w:vAlign w:val="bottom"/>
            <w:gridSpan w:val="5"/>
            <w:vMerge w:val="continue"/>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6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60" w:type="dxa"/>
            <w:vAlign w:val="bottom"/>
          </w:tcPr>
          <w:p>
            <w:pPr>
              <w:spacing w:after="0"/>
              <w:rPr>
                <w:sz w:val="11"/>
                <w:szCs w:val="11"/>
                <w:color w:val="auto"/>
              </w:rPr>
            </w:pPr>
          </w:p>
        </w:tc>
        <w:tc>
          <w:tcPr>
            <w:tcW w:w="10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60" w:type="dxa"/>
            <w:vAlign w:val="bottom"/>
          </w:tcPr>
          <w:p>
            <w:pPr>
              <w:spacing w:after="0"/>
              <w:rPr>
                <w:sz w:val="11"/>
                <w:szCs w:val="11"/>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200" w:type="dxa"/>
            <w:vAlign w:val="bottom"/>
          </w:tcPr>
          <w:p>
            <w:pPr>
              <w:spacing w:after="0"/>
              <w:rPr>
                <w:sz w:val="11"/>
                <w:szCs w:val="11"/>
                <w:color w:val="auto"/>
              </w:rPr>
            </w:pPr>
          </w:p>
        </w:tc>
        <w:tc>
          <w:tcPr>
            <w:tcW w:w="84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04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restart"/>
          </w:tcPr>
          <w:p>
            <w:pPr>
              <w:jc w:val="right"/>
              <w:ind w:right="131"/>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vMerge w:val="restart"/>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vMerge w:val="restart"/>
          </w:tcPr>
          <w:p>
            <w:pPr>
              <w:jc w:val="right"/>
              <w:ind w:right="152"/>
              <w:spacing w:after="0"/>
              <w:rPr>
                <w:sz w:val="20"/>
                <w:szCs w:val="20"/>
                <w:color w:val="auto"/>
              </w:rPr>
            </w:pPr>
            <w:r>
              <w:rPr>
                <w:rFonts w:ascii="Times New Roman" w:cs="Times New Roman" w:eastAsia="Times New Roman" w:hAnsi="Times New Roman"/>
                <w:sz w:val="13"/>
                <w:szCs w:val="13"/>
                <w:b w:val="1"/>
                <w:bCs w:val="1"/>
                <w:color w:val="auto"/>
              </w:rPr>
              <w:t>At Cost</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4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4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restart"/>
          </w:tcPr>
          <w:p>
            <w:pPr>
              <w:jc w:val="right"/>
              <w:ind w:right="25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2060" w:type="dxa"/>
            <w:vAlign w:val="bottom"/>
          </w:tcPr>
          <w:p>
            <w:pPr>
              <w:spacing w:after="0"/>
              <w:rPr>
                <w:sz w:val="15"/>
                <w:szCs w:val="15"/>
                <w:color w:val="auto"/>
              </w:rPr>
            </w:pPr>
          </w:p>
        </w:tc>
        <w:tc>
          <w:tcPr>
            <w:tcW w:w="9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9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Paid-in Capital</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3"/>
                <w:szCs w:val="13"/>
                <w:b w:val="1"/>
                <w:bCs w:val="1"/>
                <w:color w:val="auto"/>
              </w:rPr>
              <w:t>Loss</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40" w:type="dxa"/>
            <w:vAlign w:val="bottom"/>
            <w:gridSpan w:val="8"/>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(in millions of dollars, except share amounts)</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6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Balances at</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134,651,380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7,278,651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center"/>
              <w:ind w:left="332"/>
              <w:spacing w:after="0"/>
              <w:rPr>
                <w:sz w:val="20"/>
                <w:szCs w:val="20"/>
                <w:color w:val="auto"/>
              </w:rPr>
            </w:pPr>
            <w:r>
              <w:rPr>
                <w:rFonts w:ascii="Times New Roman" w:cs="Times New Roman" w:eastAsia="Times New Roman" w:hAnsi="Times New Roman"/>
                <w:sz w:val="18"/>
                <w:szCs w:val="18"/>
                <w:color w:val="auto"/>
                <w:w w:val="99"/>
              </w:rPr>
              <w:t>(89)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10,465</w:t>
            </w:r>
          </w:p>
        </w:tc>
        <w:tc>
          <w:tcPr>
            <w:tcW w:w="0" w:type="dxa"/>
            <w:vAlign w:val="bottom"/>
          </w:tcPr>
          <w:p>
            <w:pPr>
              <w:spacing w:after="0"/>
              <w:rPr>
                <w:sz w:val="1"/>
                <w:szCs w:val="1"/>
                <w:color w:val="auto"/>
              </w:rPr>
            </w:pPr>
          </w:p>
        </w:tc>
      </w:tr>
      <w:tr>
        <w:trPr>
          <w:trHeight w:val="229"/>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176"/>
        </w:trPr>
        <w:tc>
          <w:tcPr>
            <w:tcW w:w="2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center"/>
              <w:ind w:left="332"/>
              <w:spacing w:after="0"/>
              <w:rPr>
                <w:sz w:val="20"/>
                <w:szCs w:val="20"/>
                <w:color w:val="auto"/>
              </w:rPr>
            </w:pPr>
            <w:r>
              <w:rPr>
                <w:rFonts w:ascii="Times New Roman" w:cs="Times New Roman" w:eastAsia="Times New Roman" w:hAnsi="Times New Roman"/>
                <w:sz w:val="18"/>
                <w:szCs w:val="18"/>
                <w:color w:val="auto"/>
                <w:w w:val="99"/>
              </w:rPr>
              <w:t>22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76"/>
        </w:trPr>
        <w:tc>
          <w:tcPr>
            <w:tcW w:w="2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repurchased</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201,742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76"/>
        </w:trPr>
        <w:tc>
          <w:tcPr>
            <w:tcW w:w="2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issued—stock-</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based compensation</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(469,404)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center"/>
              <w:ind w:left="252"/>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4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ind w:left="252"/>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76"/>
        </w:trPr>
        <w:tc>
          <w:tcPr>
            <w:tcW w:w="2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Distributions to</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56"/>
        </w:trPr>
        <w:tc>
          <w:tcPr>
            <w:tcW w:w="206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Balances at March 31,</w:t>
            </w: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134,651,380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7,010,989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center"/>
              <w:ind w:left="332"/>
              <w:spacing w:after="0"/>
              <w:rPr>
                <w:sz w:val="20"/>
                <w:szCs w:val="20"/>
                <w:color w:val="auto"/>
              </w:rPr>
            </w:pPr>
            <w:r>
              <w:rPr>
                <w:rFonts w:ascii="Times New Roman" w:cs="Times New Roman" w:eastAsia="Times New Roman" w:hAnsi="Times New Roman"/>
                <w:sz w:val="18"/>
                <w:szCs w:val="18"/>
                <w:color w:val="auto"/>
                <w:w w:val="99"/>
              </w:rPr>
              <w:t>(67)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10,828</w:t>
            </w:r>
          </w:p>
        </w:tc>
        <w:tc>
          <w:tcPr>
            <w:tcW w:w="0" w:type="dxa"/>
            <w:vAlign w:val="bottom"/>
          </w:tcPr>
          <w:p>
            <w:pPr>
              <w:spacing w:after="0"/>
              <w:rPr>
                <w:sz w:val="1"/>
                <w:szCs w:val="1"/>
                <w:color w:val="auto"/>
              </w:rPr>
            </w:pPr>
          </w:p>
        </w:tc>
      </w:tr>
      <w:tr>
        <w:trPr>
          <w:trHeight w:val="229"/>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left="332"/>
              <w:spacing w:after="0"/>
              <w:rPr>
                <w:sz w:val="20"/>
                <w:szCs w:val="20"/>
                <w:color w:val="auto"/>
              </w:rPr>
            </w:pPr>
            <w:r>
              <w:rPr>
                <w:rFonts w:ascii="Times New Roman" w:cs="Times New Roman" w:eastAsia="Times New Roman" w:hAnsi="Times New Roman"/>
                <w:sz w:val="18"/>
                <w:szCs w:val="18"/>
                <w:color w:val="auto"/>
                <w:w w:val="99"/>
              </w:rPr>
              <w:t>(12)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76"/>
        </w:trPr>
        <w:tc>
          <w:tcPr>
            <w:tcW w:w="2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repurchased</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75"/>
        </w:trPr>
        <w:tc>
          <w:tcPr>
            <w:tcW w:w="2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issued—stock-</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based compensation</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(55,470)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center"/>
              <w:ind w:left="252"/>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4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ind w:left="252"/>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75"/>
        </w:trPr>
        <w:tc>
          <w:tcPr>
            <w:tcW w:w="2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Distributions to</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55"/>
        </w:trPr>
        <w:tc>
          <w:tcPr>
            <w:tcW w:w="206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Balances at June 30,</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134,651,380</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6,965,071</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10,484</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vMerge w:val="restart"/>
            <w:shd w:val="clear" w:color="auto" w:fill="CCEEFF"/>
          </w:tcPr>
          <w:p>
            <w:pPr>
              <w:jc w:val="center"/>
              <w:ind w:left="332"/>
              <w:spacing w:after="0"/>
              <w:rPr>
                <w:sz w:val="20"/>
                <w:szCs w:val="20"/>
                <w:color w:val="auto"/>
              </w:rPr>
            </w:pPr>
            <w:r>
              <w:rPr>
                <w:rFonts w:ascii="Times New Roman" w:cs="Times New Roman" w:eastAsia="Times New Roman" w:hAnsi="Times New Roman"/>
                <w:sz w:val="18"/>
                <w:szCs w:val="18"/>
                <w:color w:val="auto"/>
                <w:w w:val="99"/>
              </w:rPr>
              <w:t>(79)</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11,077</w:t>
            </w:r>
          </w:p>
        </w:tc>
        <w:tc>
          <w:tcPr>
            <w:tcW w:w="0" w:type="dxa"/>
            <w:vAlign w:val="bottom"/>
          </w:tcPr>
          <w:p>
            <w:pPr>
              <w:spacing w:after="0"/>
              <w:rPr>
                <w:sz w:val="1"/>
                <w:szCs w:val="1"/>
                <w:color w:val="auto"/>
              </w:rPr>
            </w:pPr>
          </w:p>
        </w:tc>
      </w:tr>
      <w:tr>
        <w:trPr>
          <w:trHeight w:val="236"/>
        </w:trPr>
        <w:tc>
          <w:tcPr>
            <w:tcW w:w="2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460" w:type="dxa"/>
            <w:vAlign w:val="bottom"/>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2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r>
      <w:tr>
        <w:trPr>
          <w:trHeight w:val="219"/>
        </w:trPr>
        <w:tc>
          <w:tcPr>
            <w:tcW w:w="8260" w:type="dxa"/>
            <w:vAlign w:val="bottom"/>
          </w:tcPr>
          <w:p>
            <w:pPr>
              <w:spacing w:after="0"/>
              <w:rPr>
                <w:sz w:val="19"/>
                <w:szCs w:val="19"/>
                <w:color w:val="auto"/>
              </w:rPr>
            </w:pPr>
          </w:p>
        </w:tc>
        <w:tc>
          <w:tcPr>
            <w:tcW w:w="246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520" w:type="dxa"/>
            <w:vAlign w:val="bottom"/>
          </w:tcPr>
          <w:p>
            <w:pPr>
              <w:spacing w:after="0"/>
              <w:rPr>
                <w:sz w:val="19"/>
                <w:szCs w:val="19"/>
                <w:color w:val="auto"/>
              </w:rPr>
            </w:pPr>
          </w:p>
        </w:tc>
      </w:tr>
      <w:tr>
        <w:trPr>
          <w:trHeight w:val="23"/>
        </w:trPr>
        <w:tc>
          <w:tcPr>
            <w:tcW w:w="8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Pr>
          <w:p>
            <w:pPr>
              <w:jc w:val="right"/>
              <w:ind w:right="72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19"/>
                <w:szCs w:val="19"/>
                <w:color w:val="auto"/>
              </w:rPr>
            </w:pPr>
          </w:p>
        </w:tc>
        <w:tc>
          <w:tcPr>
            <w:tcW w:w="92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disposition and write-off of property, plant and equipment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gains, net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 of business acquisitions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23"/>
        </w:trPr>
        <w:tc>
          <w:tcPr>
            <w:tcW w:w="82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investments in unconsolidated subsidiaries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1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common stock for treasury</w:t>
            </w:r>
          </w:p>
        </w:tc>
        <w:tc>
          <w:tcPr>
            <w:tcW w:w="9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2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920" w:type="dxa"/>
            <w:vAlign w:val="bottom"/>
            <w:tcBorders>
              <w:bottom w:val="single" w:sz="8" w:color="auto"/>
            </w:tcBorders>
          </w:tcPr>
          <w:p>
            <w:pPr>
              <w:jc w:val="right"/>
              <w:ind w:right="72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2,692</w:t>
            </w:r>
          </w:p>
        </w:tc>
      </w:tr>
      <w:tr>
        <w:trPr>
          <w:trHeight w:val="20"/>
        </w:trPr>
        <w:tc>
          <w:tcPr>
            <w:tcW w:w="8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Financial Statements</w:t>
      </w:r>
    </w:p>
    <w:p>
      <w:pPr>
        <w:spacing w:after="0" w:line="94" w:lineRule="exact"/>
        <w:rPr>
          <w:sz w:val="20"/>
          <w:szCs w:val="20"/>
          <w:color w:val="auto"/>
        </w:rPr>
      </w:pPr>
    </w:p>
    <w:p>
      <w:pPr>
        <w:ind w:right="140" w:firstLine="405"/>
        <w:spacing w:after="0" w:line="253" w:lineRule="auto"/>
        <w:rPr>
          <w:sz w:val="20"/>
          <w:szCs w:val="20"/>
          <w:color w:val="auto"/>
        </w:rPr>
      </w:pPr>
      <w:r>
        <w:rPr>
          <w:rFonts w:ascii="Times New Roman" w:cs="Times New Roman" w:eastAsia="Times New Roman" w:hAnsi="Times New Roman"/>
          <w:sz w:val="18"/>
          <w:szCs w:val="18"/>
          <w:color w:val="auto"/>
        </w:rPr>
        <w:t>The accompanying unaudited consolidated interim financial statements were prepared in accordance with the rules and regulations of the Securities and Exchange Commission (the "SEC") for interim periods. Accordingly, certain information and footnotes required for complete financial statements under generally accepted accounting principles in the United States ("U.S. GAAP") have not been included. These interim consolidated financial statements should be read in conjunction with the consolidated financial statements and notes thereto of Westlake Corporation (the "Company"), included in the annual report on Form 10-K for the fiscal year ended December 31, 2023 (the "2023 Form 10-K"), filed with the SEC on February 22, 2024. These consolidated financial statements have been prepared in conformity with the accounting principles and practices as disclosed in the notes to the consolidated financial statements of the Company for the fiscal year ended December 31, 2023. The Company operates as an integrated global manufacturer and marketer of performance and essential materials and housing and infrastructure products. These products include some of the most widely used materials in the world, which are fundamental to many diverse consumer and industrial markets, including residential construction, flexible and rigid packaging, automotive products, healthcare products, materials used in turbines to generate wind energy, water treatment, coatings as well as other durable and non-durable goods. The Company's customers range from large chemical processors and plastics fabricators to small construction contractors, municipalities and supply warehouses throughout North America, Europe and Asia.</w:t>
      </w:r>
    </w:p>
    <w:p>
      <w:pPr>
        <w:spacing w:after="0" w:line="136"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In the opinion of the Company's management, the accompanying unaudited consolidated interim financial statements reflect all adjustments (consisting only of normal recurring adjustments) that are necessary for a fair statement of the Company's financial position as of June 30, 2024, its results of operations for the three and six months ended June 30, 2024 and 2023, and the changes in its cash position for the six months ended June 30, 2024 and 2023.</w:t>
      </w:r>
    </w:p>
    <w:p>
      <w:pPr>
        <w:spacing w:after="0" w:line="126"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Results of operations and changes in cash position for the interim periods presented are not necessarily indicative of the results that will be realized for the fiscal year ending December 31, 2024 or any other interim period. The preparation of consolidated financial statements in conformity with U.S. GAAP requires management to make estimates and assumptions that affect the reported amounts of assets, liabilities, revenues and expenses and the disclosure of contingent assets and liabilities. Actual results could differ from those estimates.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 (Topic 740): Improvements to Income Tax Disclosures (ASU No.2023-09)</w:t>
      </w:r>
    </w:p>
    <w:p>
      <w:pPr>
        <w:spacing w:after="0" w:line="9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No. 2023-09 to enhance the transparency and decision-usefulness of income tax disclosures and to provide information to better assess how an entity's operations and related tax risks and tax planning and operational opportunities affect its tax rate and prospects for future cash flows. For public business entities, the amendments in this update are effective for annual periods beginning after December 15, 2024. The Company is in the process of evaluating the impact of this standard on the Company's disclosures in the financial statements.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Combinations—Joint Venture Formations (Subtopic 805-60): Recognition and Initial Measurement (ASU 2023-05)</w:t>
      </w:r>
    </w:p>
    <w:p>
      <w:pPr>
        <w:spacing w:after="0" w:line="106"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In August 2023, the FASB issued accounting standards update No. 2023-05 to address the accounting for contributions made to a joint venture, upon formation, in a joint venture's financial statements, and to (1) provide decision-useful information to investors and other allocators of capital (collectively, investors) in a joint venture's financial statements and (2) reduce diversity in practice. Under the ASU, upon formation, a joint venture should recognize and initially measure its assets and liabilities at fair value (with exceptions to fair value measurement that are consistent with guidance for business combinations). The amendments in this update become effective for all joint venture formations with a formation date on or after January 1, 2025. Additionally, a joint venture that was formed before January 1, 2025 may elect to apply the amendments retrospectively if it has sufficient information. Early adoption is permitted in any interim or annual period in which financial statements have not yet been issued (or made available for issuance), either prospectively or retrospectively. The Company does not expect that this accounting standard will have a material impact, upon adoption, on the Company's consolidated financial position, results of operations and cash flows.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 (Topic 280): Improvements to Reportable Segment Disclosures (ASU 2023-07)</w:t>
      </w:r>
    </w:p>
    <w:p>
      <w:pPr>
        <w:spacing w:after="0" w:line="106" w:lineRule="exact"/>
        <w:rPr>
          <w:sz w:val="20"/>
          <w:szCs w:val="20"/>
          <w:color w:val="auto"/>
        </w:rPr>
      </w:pPr>
    </w:p>
    <w:p>
      <w:pPr>
        <w:ind w:right="180" w:firstLine="405"/>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accounting standards update No. 2023-07, which requires public entities to disclose, on an annual and interim basis, significant segment expenses that are regularly provided to the chief operating decision maker (CODM), the title and position of the CODM and an explanation of how the CODM uses the reported measure(s) of segment profit or loss in assessing segment performance and deciding how to allocate resources. The amendments in this update are effective for public entities in fiscal years beginning after December 15, 2023, and interim periods within fiscal years beginning after December 15, 2024, and are to be applied retrospectively to all prior periods presented in the financial statements. Early adoption is permitted. The Company adopted this accounting standard effective January 1, 2024, and the adoption will result in additional segment disclosures in the Company's annual consolidated financial statements for the year ending December 31, 2024 and the interim periods thereafter.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 (Topic 842): Common Control Arrangements (ASU 2023-01)</w:t>
      </w:r>
    </w:p>
    <w:p>
      <w:pPr>
        <w:spacing w:after="0" w:line="92"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In March 2023, the FASB issued accounting standards update No. 2023-01 to amend certain provisions of ASC 842 that apply to arrangements between related parties under common control. The update requires all companies to amortize leasehold improvements associated with common control leases over the asset's useful life to the common control group regardless of the lease term. The amendment in this update is effective for all entities in fiscal years beginning after December 15, 2023, including interim periods within those fiscal years. Early application is permitted. The Company adopted this accounting standard effective January 1, 2024, and the adoption did not have a material impact on the Company's consolidated financial position, results of operations and cash flows.</w:t>
      </w:r>
    </w:p>
    <w:p>
      <w:pPr>
        <w:spacing w:after="0" w:line="224" w:lineRule="exact"/>
        <w:rPr>
          <w:sz w:val="20"/>
          <w:szCs w:val="20"/>
          <w:color w:val="auto"/>
        </w:rPr>
      </w:pPr>
    </w:p>
    <w:p>
      <w:pPr>
        <w:ind w:right="9340" w:firstLine="8"/>
        <w:spacing w:after="0" w:line="354"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Instruments </w:t>
      </w:r>
      <w:r>
        <w:rPr>
          <w:rFonts w:ascii="Times New Roman" w:cs="Times New Roman" w:eastAsia="Times New Roman" w:hAnsi="Times New Roman"/>
          <w:sz w:val="18"/>
          <w:szCs w:val="18"/>
          <w:b w:val="1"/>
          <w:bCs w:val="1"/>
          <w:i w:val="1"/>
          <w:iCs w:val="1"/>
          <w:color w:val="auto"/>
        </w:rPr>
        <w:t>Cash Equivalents</w:t>
      </w:r>
    </w:p>
    <w:p>
      <w:pPr>
        <w:spacing w:after="0" w:line="1"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The Company had $530 and $360 of held-to-maturity securities with original maturities of three months or less, primarily consisting of corporate debt securities, classified as cash equivalents at June 30, 2024 and December 31, 2023, respectively. The Company's investments in held-to-maturity securities were held at amortized cost, which approximates fair value.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 and Cash Equivalents</w:t>
      </w:r>
    </w:p>
    <w:p>
      <w:pPr>
        <w:spacing w:after="0" w:line="108"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The Company had restricted cash and cash equivalents of $16 and $15 at June 30, 2024 and December 31, 2023, respectively. The Company's restricted cash and cash equivalents are primarily related to balances that are restricted for payment of distributions to certain of the Company's current and former employees and are reflected primarily in other assets, net in the consolidated balance sheets.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Accounts Receivable</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Accounts receivable consist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2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customers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parties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8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and state taxes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Inventories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Inventories consist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Feedstock, additives, chemicals and other raw materials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Materials and supplies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w:t>
            </w:r>
          </w:p>
        </w:tc>
      </w:tr>
      <w:tr>
        <w:trPr>
          <w:trHeight w:val="20"/>
        </w:trPr>
        <w:tc>
          <w:tcPr>
            <w:tcW w:w="8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carrying amounts and changes in the carrying amount of goodwill for the six months ended June 30, 2024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Performance and</w:t>
            </w:r>
          </w:p>
        </w:tc>
        <w:tc>
          <w:tcPr>
            <w:tcW w:w="140" w:type="dxa"/>
            <w:vAlign w:val="bottom"/>
          </w:tcPr>
          <w:p>
            <w:pPr>
              <w:spacing w:after="0"/>
              <w:rPr>
                <w:sz w:val="13"/>
                <w:szCs w:val="13"/>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Housing and</w:t>
            </w: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Essential Materials</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Infrastructure</w:t>
            </w:r>
          </w:p>
        </w:tc>
        <w:tc>
          <w:tcPr>
            <w:tcW w:w="220" w:type="dxa"/>
            <w:vAlign w:val="bottom"/>
          </w:tcPr>
          <w:p>
            <w:pPr>
              <w:spacing w:after="0"/>
              <w:rPr>
                <w:sz w:val="12"/>
                <w:szCs w:val="12"/>
                <w:color w:val="auto"/>
              </w:rPr>
            </w:pPr>
          </w:p>
        </w:tc>
        <w:tc>
          <w:tcPr>
            <w:tcW w:w="1220" w:type="dxa"/>
            <w:vAlign w:val="bottom"/>
            <w:vMerge w:val="restart"/>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5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Products Segment</w:t>
            </w:r>
          </w:p>
        </w:tc>
        <w:tc>
          <w:tcPr>
            <w:tcW w:w="2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2023</w:t>
            </w:r>
          </w:p>
        </w:tc>
        <w:tc>
          <w:tcPr>
            <w:tcW w:w="2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0" w:type="dxa"/>
            <w:vAlign w:val="bottom"/>
          </w:tcPr>
          <w:p>
            <w:pPr>
              <w:spacing w:after="0"/>
              <w:rPr>
                <w:sz w:val="1"/>
                <w:szCs w:val="1"/>
                <w:color w:val="auto"/>
              </w:rPr>
            </w:pPr>
          </w:p>
        </w:tc>
      </w:tr>
      <w:tr>
        <w:trPr>
          <w:trHeight w:val="229"/>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Effects of changes in foreign exchange rates</w:t>
            </w:r>
          </w:p>
        </w:tc>
        <w:tc>
          <w:tcPr>
            <w:tcW w:w="2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8"/>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June 30, 2024</w:t>
            </w:r>
          </w:p>
        </w:tc>
        <w:tc>
          <w:tcPr>
            <w:tcW w:w="2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Accounts Payable</w:t>
            </w:r>
          </w:p>
        </w:tc>
        <w:tc>
          <w:tcPr>
            <w:tcW w:w="2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4520" w:type="dxa"/>
            <w:vAlign w:val="bottom"/>
            <w:vMerge w:val="continue"/>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payable consist of the following:</w:t>
            </w: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52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22"/>
                <w:szCs w:val="22"/>
                <w:color w:val="auto"/>
              </w:rPr>
            </w:pPr>
          </w:p>
        </w:tc>
        <w:tc>
          <w:tcPr>
            <w:tcW w:w="122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4520" w:type="dxa"/>
            <w:vAlign w:val="bottom"/>
            <w:tcBorders>
              <w:bottom w:val="single" w:sz="8" w:color="CCEEFF"/>
            </w:tcBorders>
          </w:tcPr>
          <w:p>
            <w:pPr>
              <w:spacing w:after="0"/>
              <w:rPr>
                <w:sz w:val="16"/>
                <w:szCs w:val="16"/>
                <w:color w:val="auto"/>
              </w:rPr>
            </w:pPr>
          </w:p>
        </w:tc>
        <w:tc>
          <w:tcPr>
            <w:tcW w:w="22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8"/>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payable—third parties</w:t>
            </w:r>
          </w:p>
        </w:tc>
        <w:tc>
          <w:tcPr>
            <w:tcW w:w="2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to related parties</w:t>
            </w: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w:t>
            </w:r>
          </w:p>
        </w:tc>
        <w:tc>
          <w:tcPr>
            <w:tcW w:w="2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0" w:type="dxa"/>
            <w:vAlign w:val="bottom"/>
          </w:tcPr>
          <w:p>
            <w:pPr>
              <w:spacing w:after="0"/>
              <w:rPr>
                <w:sz w:val="1"/>
                <w:szCs w:val="1"/>
                <w:color w:val="auto"/>
              </w:rPr>
            </w:pPr>
          </w:p>
        </w:tc>
      </w:tr>
      <w:tr>
        <w:trPr>
          <w:trHeight w:val="21"/>
        </w:trPr>
        <w:tc>
          <w:tcPr>
            <w:tcW w:w="4520" w:type="dxa"/>
            <w:vAlign w:val="bottom"/>
          </w:tcPr>
          <w:p>
            <w:pPr>
              <w:spacing w:after="0" w:line="20" w:lineRule="exact"/>
              <w:rPr>
                <w:sz w:val="1"/>
                <w:szCs w:val="1"/>
                <w:color w:val="auto"/>
              </w:rPr>
            </w:pPr>
          </w:p>
        </w:tc>
        <w:tc>
          <w:tcPr>
            <w:tcW w:w="2220" w:type="dxa"/>
            <w:vAlign w:val="bottom"/>
            <w:vMerge w:val="restart"/>
          </w:tcPr>
          <w:p>
            <w:pPr>
              <w:jc w:val="right"/>
              <w:ind w:right="9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52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Debt</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Long-term debt consist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2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0.875% senior notes due 2024</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3.60% senior notes due 2026</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related to tax-exempt waste disposal revenue bonds due 2027</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1.625% €700 million senior notes due 2029</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3.375% senior notes due 2030</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3.50% senior notes due 2032</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2.875% senior notes due 2041</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5.00% senior notes due 2046</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4.375% senior notes due 2047</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3.125% senior notes due 2051</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3.375% senior notes due 2061</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Term loans due 2026</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 principal amount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Unamortized discount and debt issuance costs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carrying value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0.875% senior notes due 2024</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carrying value, net of current portion</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Unamortized debt issuance costs on long-term debt were $34 and $36 at June 30, 2024 and December 31, 2023, respectively. As of June 30, 2024, the Company was in compliance with all of its long-term debt covenants.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08"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On June 9, 2022, the Company entered into a new $1,500 revolving credit facility that is scheduled to mature on June 9, 2027 (the "Credit Agreement") and, in connection therewith, terminated the Company's then existing revolving credit agreement. The Credit Agreement bears interest at either (a) Adjusted Term Secured Overnight Financing Rate (as defined in the Credit Agreement) plus a margin ranging from 1.00% to 1.625% per annum or (b) Alternate Base Rate (as defined in the Credit Agreement) plus a margin ranging from 0.00% to 0.625% per annum, in each case depending on the credit rating of the Company. The Credit Agreement contains certain affirmative and negative covenants, including a quarterly total leverage ratio financial maintenance covenant. As of June 30, 2024, the Company was in compliance with the total leverage ratio financial maintenance covenant. The Credit Agreement also contains certain events of default and, if and for so long as certain events of default have occurred and are continuing, any overdue amounts outstanding under the Credit Agreement will accrue interest at an increased rate, the lenders can terminate their commitments to lend thereunder and payments of any outstanding amounts thereunder could be accelerated by the lenders. None of the Company's subsidiaries are required to guarantee the obligations of the Company under the Credit Agreement.</w:t>
      </w:r>
    </w:p>
    <w:p>
      <w:pPr>
        <w:spacing w:after="0" w:line="140"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The Credit Agreement includes a $150 sub-limit for letters of credit, and any outstanding letters of credit will be deducted from availability under the facility. The Credit Agreement also provides for a discretionary $50 commitment for swingline loans to be provided on a same-day basis. The Company may also increase the size of the facility, in increments of at least $25, up to a maximum of $500, subject to certain conditions and if certain lenders agree to commit to such an increase.</w:t>
      </w:r>
    </w:p>
    <w:p>
      <w:pPr>
        <w:spacing w:after="0" w:line="126"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As of June 30, 2024, the Company had no borrowings and no letters of credit outstanding, and had borrowing availability of $1,500, under the Credit Agreement.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Accumulated Other Comprehensive Income (Loss)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Changes in accumulated other comprehensive income (loss) by component for the six months ended June 30, 2024 and 2023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Pension and Other</w:t>
            </w:r>
          </w:p>
        </w:tc>
        <w:tc>
          <w:tcPr>
            <w:tcW w:w="15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Cumulative Foreign</w:t>
            </w: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15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5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Benefits Liability, Net</w:t>
            </w:r>
          </w:p>
        </w:tc>
        <w:tc>
          <w:tcPr>
            <w:tcW w:w="26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Pr>
          <w:p>
            <w:pPr>
              <w:spacing w:after="0"/>
              <w:rPr>
                <w:sz w:val="12"/>
                <w:szCs w:val="12"/>
                <w:color w:val="auto"/>
              </w:rPr>
            </w:pPr>
          </w:p>
        </w:tc>
        <w:tc>
          <w:tcPr>
            <w:tcW w:w="1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Other, Net of Tax</w:t>
            </w:r>
          </w:p>
        </w:tc>
        <w:tc>
          <w:tcPr>
            <w:tcW w:w="340" w:type="dxa"/>
            <w:vAlign w:val="bottom"/>
          </w:tcPr>
          <w:p>
            <w:pPr>
              <w:spacing w:after="0"/>
              <w:rPr>
                <w:sz w:val="12"/>
                <w:szCs w:val="12"/>
                <w:color w:val="auto"/>
              </w:rPr>
            </w:pPr>
          </w:p>
        </w:tc>
        <w:tc>
          <w:tcPr>
            <w:tcW w:w="108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of Tax</w:t>
            </w:r>
          </w:p>
        </w:tc>
        <w:tc>
          <w:tcPr>
            <w:tcW w:w="15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Exchange, Net of Tax</w:t>
            </w:r>
          </w:p>
        </w:tc>
        <w:tc>
          <w:tcPr>
            <w:tcW w:w="14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176"/>
        </w:trPr>
        <w:tc>
          <w:tcPr>
            <w:tcW w:w="52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other comprehensive income (loss) attributable to Westlake</w:t>
            </w: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Corporation</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48"/>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June 30, 2024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176"/>
        </w:trPr>
        <w:tc>
          <w:tcPr>
            <w:tcW w:w="52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other comprehensive income (loss) attributable to Westlake</w:t>
            </w: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Corporation</w:t>
            </w: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June 30, 2023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Measurements</w:t>
      </w:r>
    </w:p>
    <w:p>
      <w:pPr>
        <w:spacing w:after="0" w:line="108"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The Company reports certain assets and liabilities at fair value, which is defined as the price that would be received to sell an asset or paid to transfer a liability in an orderly transaction between market participants at the measurement date (exit price). Under the accounting guidance for fair value measurements, inputs used to measure fair value are classified in one of three levels: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2: Observable market-based inputs or unobservable inputs that are corroborated by market data.</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171" w:lineRule="exact"/>
        <w:rPr>
          <w:sz w:val="20"/>
          <w:szCs w:val="20"/>
          <w:color w:val="auto"/>
        </w:rPr>
      </w:pPr>
    </w:p>
    <w:p>
      <w:pPr>
        <w:ind w:right="480" w:firstLine="405"/>
        <w:spacing w:after="0" w:line="261" w:lineRule="auto"/>
        <w:rPr>
          <w:sz w:val="20"/>
          <w:szCs w:val="20"/>
          <w:color w:val="auto"/>
        </w:rPr>
      </w:pPr>
      <w:r>
        <w:rPr>
          <w:rFonts w:ascii="Times New Roman" w:cs="Times New Roman" w:eastAsia="Times New Roman" w:hAnsi="Times New Roman"/>
          <w:sz w:val="18"/>
          <w:szCs w:val="18"/>
          <w:color w:val="auto"/>
        </w:rPr>
        <w:t>The Company has financial assets and liabilities subject to fair value measures. These financial assets and liabilities include cash and cash equivalents, accounts receivable, net, accounts payable and long-term debt, all of which are recorded at carrying value. The amounts reported in the consolidated balance sheets for cash and cash equivalents, accounts receivable, net and accounts payable approximate their fair value due to the short maturities of these instruments.</w:t>
      </w:r>
    </w:p>
    <w:p>
      <w:pPr>
        <w:spacing w:after="0" w:line="126"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The majority of the Company's long-term debt instruments are publicly-traded. A market approach, based upon quotes from financial reporting services, is used to measure the fair value of the Company's long-term debt. Because the Company's long-term debt instruments may not be actively traded, the inputs used to measure the fair value of the Company's long-term debt are classified as Level 2 inputs within the fair value hierarchy.</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carrying and fair values of the Company's total long-term debt are summarized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00" w:type="dxa"/>
            <w:vAlign w:val="bottom"/>
          </w:tcPr>
          <w:p>
            <w:pPr>
              <w:spacing w:after="0"/>
              <w:rPr>
                <w:sz w:val="16"/>
                <w:szCs w:val="16"/>
                <w:color w:val="auto"/>
              </w:rPr>
            </w:pPr>
          </w:p>
        </w:tc>
      </w:tr>
      <w:tr>
        <w:trPr>
          <w:trHeight w:val="23"/>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28"/>
        </w:trPr>
        <w:tc>
          <w:tcPr>
            <w:tcW w:w="52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382"/>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80"/>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442"/>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6"/>
        </w:trPr>
        <w:tc>
          <w:tcPr>
            <w:tcW w:w="5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60" w:type="dxa"/>
            <w:vAlign w:val="bottom"/>
          </w:tcPr>
          <w:p>
            <w:pPr>
              <w:spacing w:after="0"/>
              <w:rPr>
                <w:sz w:val="17"/>
                <w:szCs w:val="17"/>
                <w:color w:val="auto"/>
              </w:rPr>
            </w:pPr>
          </w:p>
        </w:tc>
        <w:tc>
          <w:tcPr>
            <w:tcW w:w="106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8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540" w:type="dxa"/>
            <w:vAlign w:val="bottom"/>
          </w:tcPr>
          <w:p>
            <w:pPr>
              <w:spacing w:after="0"/>
              <w:rPr>
                <w:sz w:val="17"/>
                <w:szCs w:val="17"/>
                <w:color w:val="auto"/>
              </w:rPr>
            </w:pPr>
          </w:p>
        </w:tc>
        <w:tc>
          <w:tcPr>
            <w:tcW w:w="90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54"/>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4,885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4,906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4,236</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94"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The effective income tax rate was 23.8% for the three months ended June 30, 2024 as compared to 18.6% for the three months ended June 30, 2023. The effective income tax rate for the three months ended June 30, 2024 was above the statutory rate of 21.0% primarily due to state and foreign taxes partially offset by U.S. federal research and development credits available to the Company. The effective income tax rate for the three months ended June 30, 2023 was below the statutory rate of 21.0% primarily due to U.S. federal research and development credits available to the Company and the reduction of reserves for uncertain income tax positions as a result of a closed federal income tax audit, partially offset by state and foreign taxes.</w:t>
      </w:r>
    </w:p>
    <w:p>
      <w:pPr>
        <w:spacing w:after="0" w:line="129"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The effective income tax rate was 22.7% for the six months ended June 30, 2024 as compared to 20.0% for the six months ended June 30, 2023. The effective income tax rate for the six months ended June 30, 2024 was above the statutory rate of 21.0% primarily due to state and foreign taxes partially offset by U.S. federal research and development credits available to the Company. The effective income tax rate for the six months ended June 30, 2023 was below the statutory rate of 21.0% primarily due to U.S. federal research and development credits available to the Company and the reduction of reserves for uncertain income tax positions as a result of a closed federal income tax audit, mostly offset by state and foreign taxes.</w:t>
      </w:r>
    </w:p>
    <w:p>
      <w:pPr>
        <w:spacing w:after="0" w:line="129"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On October 8, 2021, the Organization for Economic Co-operation and Development (the "OECD")/G20 Inclusive Framework on Base Erosion and Profit Shifting released a statement indicating that its members had agreed to a Two Pillar Solution to Address the Tax Challenges Arising from the Digitalisation of the Economy. Pillar One aims to reallocate a taxpayer's residual profits to the market jurisdictions with which the taxpayer has a nexus. Pillar Two aims to establish a minimum global tax rate of 15%, assessed through a top-up tax imposed on a country-by-country basis. Pillar One targets multinational companies with global annual revenue exceeding €20 billion and profit-to-revenue ratio of more than 10%. Based on the current threshold requirements, the Company does not expect to be subject to Pillar One. On December 20, 2021, the OECD released the Pillar Two model rules providing a framework for implementing a 15% minimum tax, also referred to as the Global Anti-Base Erosion ("GloBE") rules, on earnings of multinational companies with consolidated annual revenue exceeding €750 million.</w:t>
      </w:r>
    </w:p>
    <w:p>
      <w:pPr>
        <w:spacing w:after="0" w:line="138"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On December 12, 2022, European Union (EU) member states agreed to adopt the 15% minimum tax under the Pillar Two model rules to be enacted into the member states' domestic tax laws by December 31, 2023, with an effective date beginning in 2024. As of June 30, 2024, a handful of EU member states have yet to comply. Outside of the EU, several other jurisdictions that the Company operates in have enacted legislation consistent with the GloBE rules, while other foreign countries continue to debate adoption and timing to adopt. The Company's global footprint includes operations within the EU, as well as other non-EU jurisdictions that have enacted GloBE related legislation, such as Canada, Japan, South Korea, Vietnam, the UK and Switzerland. At this time, the Company anticipates qualifying for at least one safe harbor in the majority of jurisdictions in which it operates. For those jurisdictions where a safe harbor was not met, the impact is anticipated to be immaterial. The Company will continue to closely monitor Pillar Two developments and evaluate the potential impact to the Company as more foreign countries enact legislation, and as new information and guidance becomes available. The impacts of Pillar Two are recorded in 2024, the first year in which the rules take effect.</w:t>
      </w:r>
    </w:p>
    <w:p>
      <w:pPr>
        <w:spacing w:after="0" w:line="225" w:lineRule="exact"/>
        <w:rPr>
          <w:sz w:val="20"/>
          <w:szCs w:val="20"/>
          <w:color w:val="auto"/>
        </w:rPr>
      </w:pPr>
    </w:p>
    <w:p>
      <w:pPr>
        <w:ind w:right="8320" w:firstLine="8"/>
        <w:spacing w:after="0" w:line="354" w:lineRule="auto"/>
        <w:tabs>
          <w:tab w:leader="none" w:pos="2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Earnings and Dividends per Share </w:t>
      </w:r>
      <w:r>
        <w:rPr>
          <w:rFonts w:ascii="Times New Roman" w:cs="Times New Roman" w:eastAsia="Times New Roman" w:hAnsi="Times New Roman"/>
          <w:sz w:val="18"/>
          <w:szCs w:val="18"/>
          <w:b w:val="1"/>
          <w:bCs w:val="1"/>
          <w:i w:val="1"/>
          <w:iCs w:val="1"/>
          <w:color w:val="auto"/>
        </w:rPr>
        <w:t>Earnings per Share</w:t>
      </w:r>
    </w:p>
    <w:p>
      <w:pPr>
        <w:spacing w:after="0" w:line="1"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The Company has unvested restricted stock units outstanding that are considered participating securities and, therefore, computes basic and diluted earnings per share under the two-class method. Basic earnings per share for the periods are based upon the weighted average number of shares of common stock outstanding during each period. Diluted earnings per share include the effects of certain stock options and performance stock units.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5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Westlake Corporation</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attributable to participating securities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98"/>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371"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denominator for the basic and diluted earnings per share computations shown in the consolidated statements of operations:</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2680" w:type="dxa"/>
            <w:vAlign w:val="bottom"/>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51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shares—basic</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128,576,735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127,649,341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128,468,359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127,599,093</w:t>
            </w: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incremental shares from:</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75"/>
        </w:trPr>
        <w:tc>
          <w:tcPr>
            <w:tcW w:w="516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Assumed exercise of options and vesting of performance stock</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43"/>
        </w:trPr>
        <w:tc>
          <w:tcPr>
            <w:tcW w:w="51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units</w:t>
            </w: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773,985</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834,675</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717,186</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872,667</w:t>
            </w: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shares—diluted</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129,350,720</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128,484,016</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129,185,545</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128,471,760</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4"/>
        </w:trPr>
        <w:tc>
          <w:tcPr>
            <w:tcW w:w="5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 attributable to Westlake Corporation:</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30"/>
        </w:trPr>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Excluded from the computation of diluted earnings per share are options to purchase 171,487 and 386,526 shares of common stock for the three months ended June 30, 2024 and 2023, respectively, and 216,105 and 347,470 shares of common stock for the six months ended June 30, 2024 and 2023, respectively. These options were outstanding during the periods reported but were excluded because the effect of including them would have been antidilutive.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per Share</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Dividends declared per common share for the three and six months ended June 30, 2024 and 2023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4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2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4"/>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per common share</w:t>
            </w:r>
          </w:p>
        </w:tc>
        <w:tc>
          <w:tcPr>
            <w:tcW w:w="840" w:type="dxa"/>
            <w:vAlign w:val="bottom"/>
            <w:tcBorders>
              <w:bottom w:val="single" w:sz="8" w:color="auto"/>
            </w:tcBorders>
            <w:shd w:val="clear" w:color="auto" w:fill="CCEEFF"/>
          </w:tcPr>
          <w:p>
            <w:pPr>
              <w:jc w:val="right"/>
              <w:ind w:right="66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0.5000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0.7140</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8920" w:firstLine="8"/>
        <w:spacing w:after="0" w:line="356" w:lineRule="auto"/>
        <w:tabs>
          <w:tab w:leader="none" w:pos="27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Supplemental Information </w:t>
      </w:r>
      <w:r>
        <w:rPr>
          <w:rFonts w:ascii="Times New Roman" w:cs="Times New Roman" w:eastAsia="Times New Roman" w:hAnsi="Times New Roman"/>
          <w:sz w:val="18"/>
          <w:szCs w:val="18"/>
          <w:b w:val="1"/>
          <w:bCs w:val="1"/>
          <w:i w:val="1"/>
          <w:iCs w:val="1"/>
          <w:color w:val="auto"/>
        </w:rPr>
        <w:t xml:space="preserve">Equity Method Investments </w:t>
      </w:r>
      <w:r>
        <w:rPr>
          <w:rFonts w:ascii="Times New Roman" w:cs="Times New Roman" w:eastAsia="Times New Roman" w:hAnsi="Times New Roman"/>
          <w:sz w:val="18"/>
          <w:szCs w:val="18"/>
          <w:i w:val="1"/>
          <w:iCs w:val="1"/>
          <w:color w:val="auto"/>
        </w:rPr>
        <w:t>LACC, LLC Joint Venture</w:t>
      </w:r>
    </w:p>
    <w:p>
      <w:pPr>
        <w:spacing w:after="0" w:line="1" w:lineRule="exact"/>
        <w:rPr>
          <w:sz w:val="20"/>
          <w:szCs w:val="20"/>
          <w:color w:val="auto"/>
        </w:rPr>
      </w:pPr>
    </w:p>
    <w:p>
      <w:pPr>
        <w:ind w:right="780" w:firstLine="405"/>
        <w:spacing w:after="0" w:line="270" w:lineRule="auto"/>
        <w:rPr>
          <w:sz w:val="20"/>
          <w:szCs w:val="20"/>
          <w:color w:val="auto"/>
        </w:rPr>
      </w:pPr>
      <w:r>
        <w:rPr>
          <w:rFonts w:ascii="Times New Roman" w:cs="Times New Roman" w:eastAsia="Times New Roman" w:hAnsi="Times New Roman"/>
          <w:sz w:val="18"/>
          <w:szCs w:val="18"/>
          <w:color w:val="auto"/>
        </w:rPr>
        <w:t>As of June 30, 2024, the Company owned an aggregate 50% membership interest in LACC, LLC ("LACC"). The Company accounts for its investment in LACC under the equity method of accounting and the change for the six months ended June 30, 2024 was as follows:</w:t>
      </w:r>
    </w:p>
    <w:tbl>
      <w:tblPr>
        <w:tblLayout w:type="fixed"/>
        <w:tblInd w:w="0" w:type="dxa"/>
        <w:tblCellMar>
          <w:top w:w="0" w:type="dxa"/>
          <w:left w:w="0" w:type="dxa"/>
          <w:bottom w:w="0" w:type="dxa"/>
          <w:right w:w="0" w:type="dxa"/>
        </w:tblCellMar>
      </w:tblPr>
      <w:tr>
        <w:trPr>
          <w:trHeight w:val="190"/>
        </w:trPr>
        <w:tc>
          <w:tcPr>
            <w:tcW w:w="980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Investment in LACC</w:t>
            </w:r>
          </w:p>
        </w:tc>
      </w:tr>
      <w:tr>
        <w:trPr>
          <w:trHeight w:val="23"/>
        </w:trPr>
        <w:tc>
          <w:tcPr>
            <w:tcW w:w="98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54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r>
      <w:tr>
        <w:trPr>
          <w:trHeight w:val="230"/>
        </w:trPr>
        <w:tc>
          <w:tcPr>
            <w:tcW w:w="9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54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Assets, Net</w:t>
      </w:r>
    </w:p>
    <w:p>
      <w:pPr>
        <w:spacing w:after="0" w:line="108" w:lineRule="exact"/>
        <w:rPr>
          <w:sz w:val="20"/>
          <w:szCs w:val="20"/>
          <w:color w:val="auto"/>
        </w:rPr>
      </w:pPr>
    </w:p>
    <w:p>
      <w:pPr>
        <w:ind w:right="780" w:firstLine="405"/>
        <w:spacing w:after="0" w:line="282" w:lineRule="auto"/>
        <w:rPr>
          <w:sz w:val="20"/>
          <w:szCs w:val="20"/>
          <w:color w:val="auto"/>
        </w:rPr>
      </w:pPr>
      <w:r>
        <w:rPr>
          <w:rFonts w:ascii="Times New Roman" w:cs="Times New Roman" w:eastAsia="Times New Roman" w:hAnsi="Times New Roman"/>
          <w:sz w:val="18"/>
          <w:szCs w:val="18"/>
          <w:color w:val="auto"/>
        </w:rPr>
        <w:t>Other assets, net were $696 and $651 at June 30, 2024 and December 31, 2023, respectively. Deferred turnaround costs, net of accumulated amortization, included in other assets, net were $396 and $391 at June 30, 2024 and December 31, 2023,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and Other Liabilities</w:t>
      </w:r>
    </w:p>
    <w:p>
      <w:pPr>
        <w:spacing w:after="0" w:line="94"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Accrued and other liabilities were $1,352 and $1,614 at June 30, 2024 and December 31, 2023, respectively. Accrued rebates and current portion of operating lease liabilities, which are components of accrued and other liabilities, were $202 and $127, respectively, at June 30, 2024 and $217 and $124, respectively, at December 31, 2023. No other component of accrued and other liabilities was more than five percent of total current liabilities. Accrued liabilities with related parties were $28 and $41 at June 30, 2024 and December 31, 2023, respectively.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Investing Activities</w:t>
      </w:r>
    </w:p>
    <w:p>
      <w:pPr>
        <w:spacing w:after="0" w:line="108"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Capital expenditure related liabilities, included in accounts payable and accrued and other liabilities, were $109 and $102 at June 30, 2024 and June 30, 2023, respectively.</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non-cash charge of $19 related to asset retirement obligations was recognized in the six months ended June 30,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08" w:lineRule="exact"/>
        <w:rPr>
          <w:sz w:val="20"/>
          <w:szCs w:val="20"/>
          <w:color w:val="auto"/>
        </w:rPr>
      </w:pPr>
    </w:p>
    <w:p>
      <w:pPr>
        <w:ind w:right="480" w:firstLine="405"/>
        <w:spacing w:after="0" w:line="258" w:lineRule="auto"/>
        <w:rPr>
          <w:sz w:val="20"/>
          <w:szCs w:val="20"/>
          <w:color w:val="auto"/>
        </w:rPr>
      </w:pPr>
      <w:r>
        <w:rPr>
          <w:rFonts w:ascii="Times New Roman" w:cs="Times New Roman" w:eastAsia="Times New Roman" w:hAnsi="Times New Roman"/>
          <w:sz w:val="18"/>
          <w:szCs w:val="18"/>
          <w:color w:val="auto"/>
        </w:rPr>
        <w:t>The other income, net of $59 for the three months ended June 30, 2024 included interest income and insurance recoveries of $39 and $10, respectively, and other income, net of $23 for the three months ended June 30, 2023 included interest income and insurance recoveries of $20 and $4, respectively. Other income, net of $109 for the six months ended June 30, 2024 included interest income and insurance recoveries of $79 and $10, respectively, and other income, net of $45 for the six months ended June 30, 2023 included interest income and insurance recoveries of $38 and $8, respectively.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Cash Flow Information</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52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6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w:t>
            </w: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net of interest capitalized</w:t>
            </w:r>
          </w:p>
        </w:tc>
        <w:tc>
          <w:tcPr>
            <w:tcW w:w="98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98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information:</w:t>
            </w: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324"/>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obligations</w:t>
            </w:r>
          </w:p>
        </w:tc>
        <w:tc>
          <w:tcPr>
            <w:tcW w:w="98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94"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The Company is involved in a number of legal and regulatory matters, principally environmental in nature, that are incidental to the normal conduct of its business, including lawsuits, investigations and claims. The outcome of these matters are inherently unpredictable. The Company believes that, in the aggregate, the outcome of all known legal and regulatory matters will not have a material adverse effect on its consolidated financial statements; however, under certain circumstances, if required to recognize costs in a specific period, when combined with other factors, outcomes with respect to such matters may be material to the Company's consolidated statements of operations in such period. The Company's assessment of the potential impact of environmental matters, in particular, is subject to uncertainty due to the complex, ongoing and evolving process of investigation and remediation of such environmental matters, and the potential for technological and regulatory developments. In addition, the impact of evolving claims and programs, such as natural resource damage claims, industrial site reuse initiatives and state remediation programs creates further uncertainty of the ultimate resolution of these matters. The Company anticipates that the resolution of many legal and regulatory matters, and in particular environmental matters, will occur over an extended period of time.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369" w:lineRule="exact"/>
        <w:rPr>
          <w:sz w:val="20"/>
          <w:szCs w:val="20"/>
          <w:color w:val="auto"/>
        </w:rPr>
      </w:pPr>
    </w:p>
    <w:p>
      <w:pPr>
        <w:ind w:right="60" w:firstLine="405"/>
        <w:spacing w:after="0" w:line="252" w:lineRule="auto"/>
        <w:rPr>
          <w:sz w:val="20"/>
          <w:szCs w:val="20"/>
          <w:color w:val="auto"/>
        </w:rPr>
      </w:pPr>
      <w:r>
        <w:rPr>
          <w:rFonts w:ascii="Times New Roman" w:cs="Times New Roman" w:eastAsia="Times New Roman" w:hAnsi="Times New Roman"/>
          <w:sz w:val="18"/>
          <w:szCs w:val="18"/>
          <w:i w:val="1"/>
          <w:iCs w:val="1"/>
          <w:color w:val="auto"/>
        </w:rPr>
        <w:t>Caustic Soda Antitrust</w:t>
      </w:r>
      <w:r>
        <w:rPr>
          <w:rFonts w:ascii="Times New Roman" w:cs="Times New Roman" w:eastAsia="Times New Roman" w:hAnsi="Times New Roman"/>
          <w:sz w:val="18"/>
          <w:szCs w:val="18"/>
          <w:color w:val="auto"/>
        </w:rPr>
        <w:t>. The Company and other caustic soda producers were named as defendants in multiple purported class action civil lawsuits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filed since March 2019 in the U.S. District Court for the Western District of New York. The lawsuits allege the defendants conspired to fix, raise, maintain and stabilize the price of caustic soda, restrict domestic (U.S.) supply of caustic soda and allocate caustic soda customers. The other defendants named in the lawsuits are Olin Corporation, K.A. Steel Chemicals (a wholly-owned subsidiary of Olin), Occidental Chemical Corporation d/b/a OxyChem, Shintech Incorporated and Formosa Plastics Corporation, U.S.A. Each of the lawsuits is filed on behalf of the respective named plaintiff or plaintiffs and a putative class comprised of either direct purchasers or indirect purchasers of caustic soda in the U.S. The plaintiffs in the putative class for such direct purchasers seek $861 in single damages from the defendants, in addition to treble damages and attorney's fees. The plaintiffs in the putative class for such indirect purchasers seek approximately $500 in single damages from the defendants, in addition to treble damages (if permitted under applicable state law) and injunctive relief. In December 2023, the Court denied the direct purchaser plaintiffs' motion for class certification and the Second Circuit subsequently denied the direct purchaser plaintiffs' motion for an interlocutory appeal for that ruling. The Company recorded an estimated liability in the amount of $19 in 2023 in connection with its entry into a settlement agreement with the direct purchaser plaintiffs. However, in June 2024, the Court declined preliminary approval of the settlement and rejected certification of a settlement class. As a result, the Company terminated the settlement agreement and reversed the $19 recorded liability. In July 2024, the direct purchaser plaintiffs filed an amended motion for preliminary approval of the settlement, which the Company intends to oppose. The indirect purchaser plaintiffs' motion for class certification remains pending. Beginning in October 2020, similar class action proceedings were also filed in Canada before the Superior Court of Québec as well as before the Federal Court. These proceedings seek the certification or authorization of a class action on behalf of all residents of Canada who purchased caustic soda (including, in one of the cases, those who merely purchased products containing caustic soda) from October 1, 2015 through the present or such date deemed appropriate by the court. On December 10, 2021, the Superior Court of Québec stayed its proceedings until after a final certification decision is released in the Federal Court proceedings. At this time, the Company is not able to estimate the impact, if any, that these lawsuits could have on the Company's consolidated financial statements either in the current period or in future periods.</w:t>
      </w:r>
    </w:p>
    <w:p>
      <w:pPr>
        <w:spacing w:after="0" w:line="135"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Ethylene Antitrust. </w:t>
      </w:r>
      <w:r>
        <w:rPr>
          <w:rFonts w:ascii="Times New Roman" w:cs="Times New Roman" w:eastAsia="Times New Roman" w:hAnsi="Times New Roman"/>
          <w:sz w:val="18"/>
          <w:szCs w:val="18"/>
          <w:color w:val="auto"/>
        </w:rPr>
        <w:t>The Company and other ethylene consumers were named as defendants in a civil lawsuit filed by Shell Chemical Europe B.V.</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("SCE") in March 2023 in the District Court of Amsterdam, the Netherlands, following the European Commission Decision AT.40410 – Ethylene from July 14, 2020. SCE is a producer of ethylene in the European market and the lawsuit alleges the defendants conspired to lower the purchase price for ethylene and ethylene derivatives by manipulating the monthly contract price. SCE initially sought declaratory relief. In October 2023, SCE amended its claim and is now seeking a judgment establishing that the Company and the co-defendants are jointly and severally liable for alleged damages in the amount of approximately €1,026 million with interest compounding daily from January 1, 2020 and continuing until payment in full, as provided by Dutch law, resulting from artificially lowered prices for ethylene and ethylene derivatives during the specified period. SCE is also seeking reimbursement of costs related to the proceeding plus statutory interest. The Company and other ethylene consumers were also named as defendants in a civil lawsuit filed by Stichting Ethylene Claims ("Stichting") in November 2023 in the District Court of Amsterdam, the Netherlands, following the same European Commission decision. Stichting is a foundation under Dutch Law that claims to represent various parties asserting injury by the same alleged conduct of defendants, seeking a declaratory judgment establishing that the Company and other defendants are jointly and severally liable for an unspecified amount of damages. At this time, the Company is not able to estimate the impact, if any, that the SCE lawsuit and/or the Stichting lawsuit could have on the Company's consolidated financial statements either in the current period or in future periods.</w:t>
      </w:r>
    </w:p>
    <w:p>
      <w:pPr>
        <w:spacing w:after="0" w:line="133"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Triad Hunter. </w:t>
      </w:r>
      <w:r>
        <w:rPr>
          <w:rFonts w:ascii="Times New Roman" w:cs="Times New Roman" w:eastAsia="Times New Roman" w:hAnsi="Times New Roman"/>
          <w:sz w:val="18"/>
          <w:szCs w:val="18"/>
          <w:color w:val="auto"/>
        </w:rPr>
        <w:t>In April 2018, Triad Hunter, LLC ("Triad Hunter") filed suit against the Company and certain of its subsidiaries in the Court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Pleas in Monroe County, Ohio seeking injunctive relief and alleging negligence and trespass at the Natrium Plant with respect to Triad Hunter's well drilling activities in Ohio. On October 27, 2022, the jury returned a verdict finding that the Company had committed trespass and was negligent in conducting salt mining operations at the Natrium Plant. Upon receipt of the jury verdict, the Company reserved approximately $70 for the damages awarded to Triad Hunter. The court subsequently denied Triad Hunter's request to enjoin further solution mining from one of the brine fields at the Natrium Plant. On September 12, 2023, final judgment was entered in the amount of $70 with interest accruing at the rate of 5% from the date the judgment was rendered, as provided by law. The Company appealed the verdict and sought a stay of execution pending appeal on October 30, 2023. The Company expects oral argument to take place in the second half of 2024.</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369"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Petro 2 Flash Fire and EDC Storage Tank Explosion. </w:t>
      </w:r>
      <w:r>
        <w:rPr>
          <w:rFonts w:ascii="Times New Roman" w:cs="Times New Roman" w:eastAsia="Times New Roman" w:hAnsi="Times New Roman"/>
          <w:sz w:val="18"/>
          <w:szCs w:val="18"/>
          <w:color w:val="auto"/>
        </w:rPr>
        <w:t>In September 2021, shortly after the turnaround on Westlake Chemical OpCo LP's Petro 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ethylene facility commenced, there was a flash fire at the quench tower of the Petro 2 facility. In January 2022, an ethylene dichloride storage tank exploded at one of the Company's Lake Charles, Louisiana complexes. Certain employees and contractors working on the sites at the time of the events were injured during these events and multiple lawsuits were filed against us. Final settlements totaling approximately $382 in the aggregate were reached with all of the plaintiffs to fully resolve the lawsuits, and payment by the Company and the insurance carriers is complete.</w:t>
      </w:r>
    </w:p>
    <w:p>
      <w:pPr>
        <w:spacing w:after="0" w:line="129"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i w:val="1"/>
          <w:iCs w:val="1"/>
          <w:color w:val="auto"/>
        </w:rPr>
        <w:t>Brazilian Contractual Indemnification Lawsuit</w:t>
      </w:r>
      <w:r>
        <w:rPr>
          <w:rFonts w:ascii="Times New Roman" w:cs="Times New Roman" w:eastAsia="Times New Roman" w:hAnsi="Times New Roman"/>
          <w:sz w:val="18"/>
          <w:szCs w:val="18"/>
          <w:color w:val="auto"/>
        </w:rPr>
        <w:t>. In July 2012, PPG Industries, Inc. ("PPG") entered into an agreement to separate various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of its commodity chemicals business, which were transferred to Eagle Spinco, Inc., a wholly-owned subsidiary of PPG ("Eagle Spinco"). The separation and the post separation contractual relationship between PPG and Eagle Spinco are generally set forth in that certain Separation Agreement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as of July 18, 2012, by and between PPG and Eagle Spinco (the "Separation Agreement"). In January 2013, Eagle Spinco merged with Georgia Gulf</w:t>
      </w:r>
    </w:p>
    <w:p>
      <w:pPr>
        <w:spacing w:after="0" w:line="5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Corporation to create Axiall Corporation ("Axiall"), which the Company later acquired in August 2016. Eagle Spinco is currently a wholly-owned indirect subsidiary of the Company.</w:t>
      </w:r>
    </w:p>
    <w:p>
      <w:pPr>
        <w:spacing w:after="0" w:line="108" w:lineRule="exact"/>
        <w:rPr>
          <w:sz w:val="20"/>
          <w:szCs w:val="20"/>
          <w:color w:val="auto"/>
        </w:rPr>
      </w:pPr>
    </w:p>
    <w:p>
      <w:pPr>
        <w:ind w:firstLine="405"/>
        <w:spacing w:after="0" w:line="290" w:lineRule="auto"/>
        <w:rPr>
          <w:sz w:val="20"/>
          <w:szCs w:val="20"/>
          <w:color w:val="auto"/>
        </w:rPr>
      </w:pPr>
      <w:r>
        <w:rPr>
          <w:rFonts w:ascii="Times New Roman" w:cs="Times New Roman" w:eastAsia="Times New Roman" w:hAnsi="Times New Roman"/>
          <w:sz w:val="17"/>
          <w:szCs w:val="17"/>
          <w:color w:val="auto"/>
        </w:rPr>
        <w:t>In May 2024, a trial court in Manaus, Brazil issued a decision awarding damages to Brazilian company Di Gregorio Navegacao, Ltda ("Di Gregorio") in a lawsuit filed by Di Gregorio against PPG relating to an explosion on November 9, 1998 that destroyed the M/V DG Harmony and her cargo, which</w:t>
      </w:r>
    </w:p>
    <w:p>
      <w:pPr>
        <w:ind w:right="180"/>
        <w:spacing w:after="0" w:line="281" w:lineRule="auto"/>
        <w:rPr>
          <w:sz w:val="20"/>
          <w:szCs w:val="20"/>
          <w:color w:val="auto"/>
        </w:rPr>
      </w:pPr>
      <w:r>
        <w:rPr>
          <w:rFonts w:ascii="Times New Roman" w:cs="Times New Roman" w:eastAsia="Times New Roman" w:hAnsi="Times New Roman"/>
          <w:sz w:val="18"/>
          <w:szCs w:val="18"/>
          <w:color w:val="auto"/>
        </w:rPr>
        <w:t>included PPG-owned calcium hypochlorite. The decision awarded damages to Di Gregorio in the approximate amount of R$550 million (Brazilian real), plus a monetary adjustment and interest since April 3, 2006 (based on Selic), as well as 20% for legal fees and a small procedural fine. The parties to the</w:t>
      </w:r>
    </w:p>
    <w:p>
      <w:pPr>
        <w:spacing w:after="0" w:line="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lawsuit are waiting on the trial court's Accounting Department to release the aggregate judgment amount. On June 14, 2024, an appeal was filed by PPG against the decision in the Amazonas Court of Appeals in Manaus, Brazil. The Amazonas Court of Appeals rejected PPG's request for staying effect to its appeal. There is no expected date for the Amazonas Court of Appeals to examine the merits of PPG's appeal. PPG asserts that the Company and certain of its subsidiaries are responsible for any judgment in the lawsuit.</w:t>
      </w:r>
    </w:p>
    <w:p>
      <w:pPr>
        <w:spacing w:after="0" w:line="126" w:lineRule="exact"/>
        <w:rPr>
          <w:sz w:val="20"/>
          <w:szCs w:val="20"/>
          <w:color w:val="auto"/>
        </w:rPr>
      </w:pPr>
    </w:p>
    <w:p>
      <w:pPr>
        <w:jc w:val="both"/>
        <w:ind w:right="580" w:firstLine="405"/>
        <w:spacing w:after="0" w:line="266" w:lineRule="auto"/>
        <w:rPr>
          <w:sz w:val="20"/>
          <w:szCs w:val="20"/>
          <w:color w:val="auto"/>
        </w:rPr>
      </w:pPr>
      <w:r>
        <w:rPr>
          <w:rFonts w:ascii="Times New Roman" w:cs="Times New Roman" w:eastAsia="Times New Roman" w:hAnsi="Times New Roman"/>
          <w:sz w:val="18"/>
          <w:szCs w:val="18"/>
          <w:color w:val="auto"/>
        </w:rPr>
        <w:t>On May 17, 2024, Eagle Spinco filed a lawsuit against PPG in Delaware Superior Court seeking (1) damages relating to PPG's breach of the Separation Agreement and (2) a declaration that PPG is not entitled to indemnification for the lawsuit unless it engages in efforts to pursue relevant insurance claims and assigns to Eagle Spinco its rights to those claims.</w:t>
      </w:r>
    </w:p>
    <w:p>
      <w:pPr>
        <w:spacing w:after="0" w:line="162"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On June 13, 2024, PPG filed a lawsuit against the Company, Axiall and Eagle Spinco in Delaware Chancery Court. In this lawsuit, PPG generally asks the court to find that the defendants: (1) breached the Separation Agreement; (2) may not abandon the defense of the lawsuit filed by Di Gregorio against PPG; (3) must substitute themselves into the lawsuit and remove PPG as named defendant; (4) must acknowledge that they are solely responsible for the liabilities and defense costs of the lawsuit; and (5) must handle and resolve the lawsuit without access to PPG's insurance rights. The Company intends to defend the allegations in this litigation and may assert its own counterclaims, based on allegations similar to those pending against PPG in the Delaware Superior Court action.</w:t>
      </w:r>
    </w:p>
    <w:p>
      <w:pPr>
        <w:spacing w:after="0" w:line="133"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At this time, the Company is not able to estimate the impact, if any, that the Delaware lawsuits and Eagle Spinco's contractual obligations related to the lawsuits could have on the Company's consolidated financial statements either in the current period or in future periods.</w:t>
      </w:r>
    </w:p>
    <w:p>
      <w:pPr>
        <w:spacing w:after="0" w:line="106"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Environmental Contingencies. </w:t>
      </w:r>
      <w:r>
        <w:rPr>
          <w:rFonts w:ascii="Times New Roman" w:cs="Times New Roman" w:eastAsia="Times New Roman" w:hAnsi="Times New Roman"/>
          <w:sz w:val="18"/>
          <w:szCs w:val="18"/>
          <w:color w:val="auto"/>
        </w:rPr>
        <w:t>As of June 30, 2024 and December 31, 2023, the Company had reserves for environmental contingencies totaling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$76 and $58, respectively, most of which was classified as noncurrent liabilities. The Company's assessment of the potential impact of these environmental contingencies is subject to considerable uncertainty due to the complex, ongoing and evolving process of investigation and remediation, if necessary, of such environmental contingencies, and the potential for technological and regulatory developments.</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369"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Calvert City Proceedings. </w:t>
      </w:r>
      <w:r>
        <w:rPr>
          <w:rFonts w:ascii="Times New Roman" w:cs="Times New Roman" w:eastAsia="Times New Roman" w:hAnsi="Times New Roman"/>
          <w:sz w:val="18"/>
          <w:szCs w:val="18"/>
          <w:color w:val="auto"/>
        </w:rPr>
        <w:t>For several years, the Environmental Protection Agency (the "EPA") has been conducting remedial investigation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feasibility studies at the Company's Calvert City, Kentucky facility pursuant to the Comprehensive Environmental Response, Compensation, and Liability Act of 1980 ("CERCLA"). As the current owner of the Calvert City facility, the Company was named by the EPA as a potentially responsible party ("PRP") along with Goodrich Corporation ("Goodrich") and its successor-in-interest, Avient Corporation (formerly known as PolyOne Corporation, "Avient"). On November 30, 2017, the EPA published a draft Proposed Plan, incorporating by reference an August 2015 draft Remedial Investigation ("RI") report, an October 2017 draft Feasibility Study ("FS") report and a Technical Impracticability Waiver document dated December 19, 2017. On June 18, 2018, the EPA published an amendment to its Proposed Plan. The amended Proposed Plan describes a final remedy for the onshore portion of the site comprised of a containment wall, targeted treatment and supplemental hydraulic containment. The amended Proposed Plan also describes an interim approach to address the contamination under the river that would include recovery of any mobile contaminants by an extraction well along with further study of the extent of the contamination and potential treatment options. The EPA's estimated cost of implementation is $107, with an estimated $1 to $3 in annual operation and maintenance ("O&amp;M") costs. In September 2018, the EPA published the Record of Decision ("ROD") for the site, formally selecting the preferred final and interim remedies outlined in the amended Proposed Plan. In October 2018, the EPA issued Special Notice letters to the PRPs for the remedial design phase of work under the ROD. In April 2019, the PRPs and the EPA entered into an administrative settlement agreement and order on consent for remedial design. In October 2019, the PRPs received special notice letters for the remedial action phase of work at the site. The Company, jointly with the other PRPs, submitted a good faith offer response in December 2019. On September 17, 2020, the EPA and the Department of Justice filed a proposed consent decree for the remedial action with the U.S. District Court for the Western District of Kentucky. On November 16, 2020, the Department of Justice filed a motion to approve and enter the consent decree. On January 28, 2021, the Court granted the unopposed motion to enter the consent decree, which became effective the same day. The Company's allocation of liability for remedial and O&amp;M costs at the Calvert City site, if any, is governed by a series of agreements between the Company, Goodrich and Avient. These agreements and the associated litigation are described below.</w:t>
      </w:r>
    </w:p>
    <w:p>
      <w:pPr>
        <w:spacing w:after="0" w:line="139"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In connection with the 1990 and 1997 acquisitions of the Goodrich chemical manufacturing complex in Calvert City, Goodrich agreed to indemnify the Company for any liabilities related to preexisting contamination at the complex. For its part, the Company agreed to indemnify Goodrich for post-closing contamination caused by the Company's operations. The soil and groundwater at the complex, which does not include the Company's nearby PVC facility, had been extensively contaminated by Goodrich's operations. In 1993, Goodrich spun off the predecessor of Avient, and that predecessor assumed Goodrich's indemnification obligations relating to preexisting contamination. In 2003, litigation arose among the Company, Goodrich and Avient with respect to the allocation of the cost of remediating contamination at the site. The parties settled this litigation in December 2007 and the case was dismissed. In the settlement, the parties agreed that, among other things: (1) Avient would pay 100% of the costs (with specified exceptions), net of recoveries or credits from third parties, incurred with respect to environmental issues at the Calvert City site from August 1, 2007 forward; and (2) either the Company or Avient might, from time to time in the future (but not more than once every five years), institute an arbitration proceeding to adjust that percentage. In May 2017, Avient filed a demand for arbitration. In this proceeding, Avient sought to readjust the percentage allocation of future costs and to recover approximately $11 from the Company in reimbursement of previously paid remediation costs. The Company's cross demand for arbitration seeking unreimbursed remediation costs incurred during the relevant period was dismissed from the proceedings when Avient paid such costs in full at the beginning of the arbitration hearing.</w:t>
      </w:r>
    </w:p>
    <w:p>
      <w:pPr>
        <w:spacing w:after="0" w:line="133"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On July 10, 2018, Avient sued the Company in the U.S. District Court for the Western District of Kentucky and sought to invalidate the arbitration provisions in the parties' 2007 settlement agreement and enjoin the arbitration it had initiated in 2017. On July 30, 2018, the district court refused to enjoin the arbitration and, on January 15, 2019, the court granted the Company's motion to dismiss Avient's suit. On February 13, 2019, Avient appealed those decisions to the U.S. Court of Appeals for the Sixth Circuit. The court of appeals issued an opinion and final order on September 6, 2019, affirming the district court.</w:t>
      </w:r>
    </w:p>
    <w:p>
      <w:pPr>
        <w:spacing w:after="0" w:line="129"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The arbitration hearing began in August 2018 and concluded in December 2018. On May 22, 2019, the arbitration panel issued its final award. It determined that Avient was responsible for 100% of the allocable costs at issue in the proceeding and that Avient would remain responsible for 100% of the costs to operate the existing groundwater remedy at the Calvert City site. In August 2019, Avient filed a motion to vacate before the U.S. District Court for the Western District of Kentucky, seeking to invalidate the final award under the Federal Arbitration Act. On February 11, 2020, the U.S. District Court for the Western District of Kentucky denied Avient's motion to vacate and affirmed the arbitration final award. Avient did not file a notice of appeal before the March 10, 2020 deadline to contest the court's decision. Accordingly, the final award was affirmed, and the arbitration proceeding is fully and finally resolved.</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371"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In March 2022, the Company filed a demand for arbitration seeking reimbursement for certain allocable costs incurred during the applicable period since May 2017, and which Avient has failed to pay or disputed as not subject to indemnity under the 1990 and 1997 agreements. In April 2022, Avient filed a complaint in the federal district court for the Western District of Kentucky disputing the enforceability of the 2007 settlement agreement and seeking to enjoin arbitration. Avient claims that the allocable costs at issue are up to $22, for which Avient claims the Company is totally liable. On September 30, 2023, the court issued an order denying without prejudice the parties' cross motions for summary judgment and set a 30-day deadline for the parties to refile and provide additional briefing on specific aspects of the arguments before the court. The parties each refiled and provided additional briefing by the deadline and the motions are pending before the court. The Company disputes these claims and at this time, the Company believes it is unlikely that any remediation costs allocable to it would result in material expenditures in any individual reporting period.</w:t>
      </w:r>
    </w:p>
    <w:p>
      <w:pPr>
        <w:spacing w:after="0" w:line="136" w:lineRule="exact"/>
        <w:rPr>
          <w:sz w:val="20"/>
          <w:szCs w:val="20"/>
          <w:color w:val="auto"/>
        </w:rPr>
      </w:pPr>
    </w:p>
    <w:p>
      <w:pPr>
        <w:ind w:right="40" w:firstLine="405"/>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Sulphur Brine Dome. </w:t>
      </w:r>
      <w:r>
        <w:rPr>
          <w:rFonts w:ascii="Times New Roman" w:cs="Times New Roman" w:eastAsia="Times New Roman" w:hAnsi="Times New Roman"/>
          <w:sz w:val="18"/>
          <w:szCs w:val="18"/>
          <w:color w:val="auto"/>
        </w:rPr>
        <w:t>The Company owns and operates salt solution-mining caverns at the Sulphur Brine Dome in Sulphur, Louisiana. The Louisiana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Department of Energy and Natural Resources (LDENR) issued Compliance Order No. IMD 2022-027 and several supplements to that order, the latest in October 2023, in response to pressure anomaly events in two of the Company's brine caverns. The brine caverns were not active, operating wells but under ongoing, post-operational monitoring requirements. The compliance order and supplements thereto have required the Company to undertake various activities related to response planning, monitoring, investigation and mitigation of potential impacts in the event of future cavern pressure anomalies or failures. Since December 2022, continuous brine injection has maintained cavern pressure while the Company continues to pursue active monitoring, studies, groundwater monitoring, modeling and other activities under the compliance order and supplements. In September 2023, the Office of Conservation issued an emergency declaration as a conservative step to ensure ample resources are available to the government in its response and management of the evolving circumstances at the Sulphur Dome. In June 2024, the Company's cavern experienced a pressure event. As a result, the cavern required increased rates of brine injection, which ultimately restored cavern pressure but leveled out at a higher injection rate to maintain cavern stability. Citing the recent pressure event, LDENR ordered Westlake to begin construction of a dome-wide containment structure, the planning for which was already underway pursuant to the existing compliance order and supplements thereto. The capital costs and expenditures required to comply with the compliance orders and supplements have been and will continue to be incurred. In response to these orders, the Company reserved approximately $32 in connection with monitoring wells and other remedial activities. At this time, the Company is unable to estimate the impact, if any, that other ongoing expenditures or future injunctive relief ordered by the government could have on the Company's consolidated financial statements either in the current period or in future periods.</w:t>
      </w:r>
    </w:p>
    <w:p>
      <w:pPr>
        <w:spacing w:after="0" w:line="141"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Environmental Remediation: Reasonably Possible Matters. </w:t>
      </w:r>
      <w:r>
        <w:rPr>
          <w:rFonts w:ascii="Times New Roman" w:cs="Times New Roman" w:eastAsia="Times New Roman" w:hAnsi="Times New Roman"/>
          <w:sz w:val="18"/>
          <w:szCs w:val="18"/>
          <w:color w:val="auto"/>
        </w:rPr>
        <w:t>The Company's assessment of the potential impact of environmental contingencies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considerable uncertainty due to the complex, ongoing and evolving process of investigation and remediation, if necessary, of such environmental contingencies, and the potential for technological and regulatory developments. As such, in addition to the amounts currently reserved for contingencies that are probable and reasonably estimable as discussed above, the Company may be subject to reasonably possible loss contingencies related to environmental matters in the range of $125 to $200.</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Information</w:t>
      </w:r>
    </w:p>
    <w:p>
      <w:pPr>
        <w:spacing w:after="0" w:line="94" w:lineRule="exact"/>
        <w:rPr>
          <w:sz w:val="20"/>
          <w:szCs w:val="20"/>
          <w:color w:val="auto"/>
        </w:rPr>
      </w:pPr>
    </w:p>
    <w:p>
      <w:pPr>
        <w:ind w:right="300" w:firstLine="405"/>
        <w:spacing w:after="0" w:line="266" w:lineRule="auto"/>
        <w:rPr>
          <w:sz w:val="20"/>
          <w:szCs w:val="20"/>
          <w:color w:val="auto"/>
        </w:rPr>
      </w:pPr>
      <w:r>
        <w:rPr>
          <w:rFonts w:ascii="Times New Roman" w:cs="Times New Roman" w:eastAsia="Times New Roman" w:hAnsi="Times New Roman"/>
          <w:sz w:val="18"/>
          <w:szCs w:val="18"/>
          <w:color w:val="auto"/>
        </w:rPr>
        <w:t>The Company operates in two principal operating segments: Performance and Essential Materials and Housing and Infrastructure Products. These segments are strategic business units that offer a variety of different materials and products. The Company manages each segment separately as each business requires different technology and marketing strategies.</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0" w:type="dxa"/>
            <w:vAlign w:val="bottom"/>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2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52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external sales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Performance Materials</w:t>
            </w:r>
          </w:p>
        </w:tc>
        <w:tc>
          <w:tcPr>
            <w:tcW w:w="88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w:t>
            </w:r>
          </w:p>
        </w:tc>
      </w:tr>
      <w:tr>
        <w:trPr>
          <w:trHeight w:val="229"/>
        </w:trPr>
        <w:tc>
          <w:tcPr>
            <w:tcW w:w="5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Essential Materials</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w:t>
            </w:r>
          </w:p>
        </w:tc>
      </w:tr>
      <w:tr>
        <w:trPr>
          <w:trHeight w:val="223"/>
        </w:trPr>
        <w:tc>
          <w:tcPr>
            <w:tcW w:w="5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Performance and Essential Materials</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w:t>
            </w:r>
          </w:p>
        </w:tc>
      </w:tr>
      <w:tr>
        <w:trPr>
          <w:trHeight w:val="20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5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Housing Products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w:t>
            </w:r>
          </w:p>
        </w:tc>
      </w:tr>
      <w:tr>
        <w:trPr>
          <w:trHeight w:val="229"/>
        </w:trPr>
        <w:tc>
          <w:tcPr>
            <w:tcW w:w="5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Infrastructure Products</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23"/>
        </w:trPr>
        <w:tc>
          <w:tcPr>
            <w:tcW w:w="5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Housing and Infrastructure Products</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w:t>
            </w:r>
          </w:p>
        </w:tc>
      </w:tr>
      <w:tr>
        <w:trPr>
          <w:trHeight w:val="223"/>
        </w:trPr>
        <w:tc>
          <w:tcPr>
            <w:tcW w:w="5220" w:type="dxa"/>
            <w:vAlign w:val="bottom"/>
          </w:tcPr>
          <w:p>
            <w:pPr>
              <w:spacing w:after="0"/>
              <w:rPr>
                <w:sz w:val="19"/>
                <w:szCs w:val="19"/>
                <w:color w:val="auto"/>
              </w:rPr>
            </w:pPr>
          </w:p>
        </w:tc>
        <w:tc>
          <w:tcPr>
            <w:tcW w:w="88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6,607</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5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Intersegment sales</w:t>
            </w: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88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88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2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88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19"/>
                <w:szCs w:val="19"/>
                <w:color w:val="auto"/>
              </w:rPr>
            </w:pPr>
          </w:p>
        </w:tc>
        <w:tc>
          <w:tcPr>
            <w:tcW w:w="90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30"/>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8"/>
        </w:trPr>
        <w:tc>
          <w:tcPr>
            <w:tcW w:w="5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88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Pr>
          <w:p>
            <w:pPr>
              <w:spacing w:after="0"/>
              <w:rPr>
                <w:sz w:val="19"/>
                <w:szCs w:val="19"/>
                <w:color w:val="auto"/>
              </w:rPr>
            </w:pPr>
          </w:p>
        </w:tc>
        <w:tc>
          <w:tcPr>
            <w:tcW w:w="90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30"/>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8"/>
        </w:trPr>
        <w:tc>
          <w:tcPr>
            <w:tcW w:w="5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net</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88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90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8"/>
        </w:trPr>
        <w:tc>
          <w:tcPr>
            <w:tcW w:w="5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(benefit from) income taxes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88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90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9"/>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8"/>
        </w:trPr>
        <w:tc>
          <w:tcPr>
            <w:tcW w:w="5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500" w:type="dxa"/>
            <w:vAlign w:val="bottom"/>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0" w:type="dxa"/>
            <w:vAlign w:val="bottom"/>
            <w:gridSpan w:val="4"/>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52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19"/>
                <w:szCs w:val="19"/>
                <w:color w:val="auto"/>
              </w:rPr>
            </w:pP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96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8"/>
        </w:trPr>
        <w:tc>
          <w:tcPr>
            <w:tcW w:w="52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reconciliation of total segment income from operations to consolidated income before income taxes is as follows:</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500" w:type="dxa"/>
            <w:vAlign w:val="bottom"/>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52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9"/>
              </w:rPr>
              <w:t>(81)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9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w:t>
            </w:r>
          </w:p>
        </w:tc>
      </w:tr>
      <w:tr>
        <w:trPr>
          <w:trHeight w:val="20"/>
        </w:trPr>
        <w:tc>
          <w:tcPr>
            <w:tcW w:w="5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6"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11" w:lineRule="exact"/>
        <w:rPr>
          <w:sz w:val="20"/>
          <w:szCs w:val="20"/>
          <w:color w:val="auto"/>
        </w:rPr>
      </w:pPr>
    </w:p>
    <w:p>
      <w:pPr>
        <w:sectPr>
          <w:pgSz w:w="11900" w:h="16838" w:orient="portrait"/>
          <w:cols w:equalWidth="0" w:num="2">
            <w:col w:w="9380" w:space="720"/>
            <w:col w:w="114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13,473</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13,538</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2,609</w:t>
            </w:r>
          </w:p>
        </w:tc>
      </w:tr>
      <w:tr>
        <w:trPr>
          <w:trHeight w:val="248"/>
        </w:trPr>
        <w:tc>
          <w:tcPr>
            <w:tcW w:w="8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Westlake Chemical Partners LP</w:t>
      </w:r>
    </w:p>
    <w:p>
      <w:pPr>
        <w:spacing w:after="0" w:line="94"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In 2014, the Company formed Westlake Chemical Partners LP ("Westlake Partners") to operate, acquire and develop ethylene production facilities and related assets. Also in 2014, Westlake Partners completed its initial public offering of 12,937,500 common units.</w:t>
      </w:r>
    </w:p>
    <w:p>
      <w:pPr>
        <w:spacing w:after="0" w:line="108"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As of June 30, 2024, Westlake Partners had a 22.8% limited partner interest in Westlake Chemical OpCo LP ("OpCo"), and the Company retained a 77.2% limited partner interest in OpCo and a significant interest in Westlake Partners through the Company's ownership of Westlake Partners' general partner, 40.1% of the limited partner interests (consisting of 14,122,230 common units) and incentive distribution rights.</w:t>
      </w:r>
    </w:p>
    <w:p>
      <w:pPr>
        <w:spacing w:after="0" w:line="122"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On October 4, 2018, Westlake Partners and Westlake Chemical Partners GP LLC, the general partner of Westlake Partners, entered into an Equity Distribution Agreement with UBS Securities LLC, Barclays Capital Inc., Citigroup Global Markets Inc., Deutsche Bank Securities Inc., RBC Capital Markets, LLC, Merrill Lynch, Pierce, Fenner &amp; Smith Incorporated and Wells Fargo Securities, LLC to offer and sell Westlake Partners' common units, from time to time, up to an aggregate offering amount of $50. This Equity Distribution Agreement was amended on February 28, 2020 to reference a new shelf registration and subsequent renewals thereof for utilization under this agreement. No common units were issued under this program as of June 30, 2024.</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w:t>
      </w:r>
    </w:p>
    <w:p>
      <w:pPr>
        <w:spacing w:after="0" w:line="94"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On July 2, 2024, management of the Company approved a plan to temporarily cease operations of ("mothball") the allyl chloride (AC) and epichlorohydrin (ECH) units at the Company's site in Pernis, the Netherlands (collectively, the "Units") subject to completion of local consultation obligations. The Company will continue to operate the liquid epoxy resin (LER) and bisphenol A (BPA) units at the Pernis facility. On July 29, 2024, the Company notified the affected employees at the Units that management approved the plan to mothball the Units. The Units are expected to temporarily cease operations in 2025. The Company expects to incur total pre-tax costs of approximately €80 million related to the mothballing of the Units. The mothballing of the Units is expected to result in a workforce reduction of approximately 30 employees. The expected costs related to mothballing the Units consist of employee severance and separation costs of approximately €5 million and charges for environmental remediation and other plant mothballing costs of approximately €75 million. The Company expects to record substantially all of these costs in the third quarter of 2024.</w:t>
      </w: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This discussion and analysis should be read in conjunction with information contained in the accompanying unaudited consolidated interim financial statements of Westlake Corporation and the notes thereto and the consolidated financial statements and notes thereto of Westlake Corporation included in Westlake Corporation's Annual Report on Form 10-K for the fiscal year ended December 31, 2023 (the "2023 Form 10-K"). Unless otherwise indicated, references in this report to "we," "our," "us" or like terms refer to Westlake Corporation ("Westlake" or the "Company"). The following discussion contains forward-looking statements. Please read "Forward-Looking Statements" for a discussion of limitations inherent in such statements.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8"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We are a vertically integrated global manufacturer and marketer of performance and essential materials and housing and infrastructure products. We operate in two principal operating segments, Performance and Essential Materials and Housing and Infrastructure Products. The Performance and Essential Materials segment includes Westlake North American Vinyls, Westlake North American Chlor-alkali &amp; Derivatives, Westlake European &amp; Asian Chlorovinyls, Westlake Olefins, Westlake Polyethylene and Westlake Epoxy. The Housing and Infrastructure Products segment includes Westlake Royal Building Products, Westlake Pipe &amp; Fittings, Westlake Global Compounds and Westlake Dimex. We are highly integrated along our materials chain with significant downstream integration from ethylene and chlor-alkali (chlorine and caustic soda) into vinyls, polyethylene, epoxy and styrene monomer. We also have substantial downstream integration from polyvinyl chloride ("PVC") into our building products, PVC pipes and fittings and PVC compounds in our Housing and Infrastructure Products segment.</w:t>
      </w:r>
    </w:p>
    <w:p>
      <w:pPr>
        <w:spacing w:after="0" w:line="138"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Since 2022 our European businesses were impacted by higher energy prices, inflation and reduced demand. Our North American businesses, where we derive a significant portion of our revenue, also experienced the impacts of high energy costs and interest rates and slower demand for most of our products since the second half of 2022. However, since the second half of 2023 we have experienced lower energy costs in Europe and North America as prices for electricity and natural gas have declined following the elevated 2022 levels and inflation has eased since the 2022 levels, although it still remains a concern. In the near term, we expect that the volatility in energy prices, higher interest rates, inflation and other macroeconomic conditions will continue to impact margins and demand for most of our products.</w:t>
      </w:r>
    </w:p>
    <w:p>
      <w:pPr>
        <w:spacing w:after="0" w:line="133"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On February 1, 2022, we completed the acquisition of the global epoxy business of Hexion Inc. ("Westlake Epoxy") for total consideration of $1,207 million. The assets acquired and liabilities assumed and the results of operations of Westlake Epoxy are included in the Performance and Essential Materials segment. During the fourth quarter of 2023, the Westlake Epoxy business's sales volumes and prices, specifically base epoxy resins in Europe, continued to deteriorate. These lower sales volumes and prices have been primarily driven by record exports at lower prices of bisphenol-A, epichlorohydrin and base epoxy resins (constituting the epoxy value chain) out of Asia into Europe and North America during the time when demand in the European market was contracting. In addition, Westlake Epoxy operations in Europe have experienced sustained high energy and power costs. These factors negatively impacted Westlake Epoxy financial results during 2023. Based on these developments, along with management's outlook for the Westlake Epoxy business, we determined in the fourth quarter of 2023, that the carrying amount of long-lived assets of our base epoxy resin business in the Netherlands and all of the goodwill of the Westlake Epoxy business will not be recoverable in the foreseeable future. As a result of this assessment, a goodwill impairment charge of $128 million and a non-cash long-lived asset impairment charge of $347 million, related to our base epoxy resin business in the Netherlands, were recognized in the fourth quarter of 2023.</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Initiation of Antidumping and Countervailing Duty Investigations</w:t>
      </w:r>
    </w:p>
    <w:p>
      <w:pPr>
        <w:spacing w:after="0" w:line="108" w:lineRule="exact"/>
        <w:rPr>
          <w:sz w:val="20"/>
          <w:szCs w:val="20"/>
          <w:color w:val="auto"/>
        </w:rPr>
      </w:pPr>
    </w:p>
    <w:p>
      <w:pPr>
        <w:ind w:right="20" w:firstLine="405"/>
        <w:spacing w:after="0" w:line="272" w:lineRule="auto"/>
        <w:rPr>
          <w:sz w:val="20"/>
          <w:szCs w:val="20"/>
          <w:color w:val="auto"/>
        </w:rPr>
      </w:pPr>
      <w:r>
        <w:rPr>
          <w:rFonts w:ascii="Times New Roman" w:cs="Times New Roman" w:eastAsia="Times New Roman" w:hAnsi="Times New Roman"/>
          <w:sz w:val="17"/>
          <w:szCs w:val="17"/>
          <w:color w:val="auto"/>
        </w:rPr>
        <w:t>On April 3, 2024, the U.S. Epoxy Resin Producers Ad Hoc Coalition (the "Coalition"), of which we are a member, filed petitions with the U.S. Department of Commerce and the U.S. International Trade Commission requesting the initiation of antidumping investigations regarding imports of certain epoxy resins from China, India, South Korea, Taiwan, and Thailand and countervailing duty investigations regarding imports of the same products from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India, South Korea, and Taiwan</w:t>
      </w:r>
      <w:r>
        <w:rPr>
          <w:rFonts w:ascii="Times New Roman" w:cs="Times New Roman" w:eastAsia="Times New Roman" w:hAnsi="Times New Roman"/>
          <w:sz w:val="21"/>
          <w:szCs w:val="21"/>
          <w:color w:val="auto"/>
        </w:rPr>
        <w:t>.</w:t>
      </w:r>
    </w:p>
    <w:p>
      <w:pPr>
        <w:spacing w:after="0" w:line="159"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On June 6, 2024, the Coalition confidentially lodged an antidumping complaint with the European Commission requesting the initiation of an antidumping investigation concerning imports of epoxy resins into the European Union market originating in China, South Korea, Taiwan and Thailand. On July 1, 2024, the European Commission published in the EU Official Journal a notice initiating an antidumping investigation concerning imports of epoxy resins originating in China, South Korea, Taiwan, and Thailand.</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 and ECH Pernis Units</w:t>
      </w:r>
    </w:p>
    <w:p>
      <w:pPr>
        <w:spacing w:after="0" w:line="94" w:lineRule="exact"/>
        <w:rPr>
          <w:sz w:val="20"/>
          <w:szCs w:val="20"/>
          <w:color w:val="auto"/>
        </w:rPr>
      </w:pPr>
    </w:p>
    <w:p>
      <w:pPr>
        <w:ind w:right="540" w:firstLine="405"/>
        <w:spacing w:after="0" w:line="266" w:lineRule="auto"/>
        <w:rPr>
          <w:sz w:val="20"/>
          <w:szCs w:val="20"/>
          <w:color w:val="auto"/>
        </w:rPr>
      </w:pPr>
      <w:r>
        <w:rPr>
          <w:rFonts w:ascii="Times New Roman" w:cs="Times New Roman" w:eastAsia="Times New Roman" w:hAnsi="Times New Roman"/>
          <w:sz w:val="18"/>
          <w:szCs w:val="18"/>
          <w:color w:val="auto"/>
        </w:rPr>
        <w:t>On July 2, 2024, management of the Company approved a plan to temporarily cease operations of ("mothball") the allyl chloride ("AC") and epichlorohydrin ("ECH") units at the Company's site in Pernis, the Netherlands (collectively, the "Units") subject to completion of local consultation obligations. The Company will continue to operate the liquid epoxy resin ("LER") and bisphenol A ("BPA") units at the Pernis facility.</w:t>
      </w:r>
    </w:p>
    <w:p>
      <w:pPr>
        <w:spacing w:after="0" w:line="12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On July 29, 2024, the Company notified the affected employees at the Units that management approved the plan to mothball the Units. The Units are expected to temporarily cease operations in 2025. The Company expects to incur total pre-tax costs of approximately €80 million related to the mothballing of the Units. The mothballing of the Units is expected to result in a workforce reduction of approximately 30 employees. The expected costs related to mothballing the Units consist of employee severance and separation costs of approximately €5 million and charges for environmental remediation and other plant mothballing costs of approximately €75 million.</w:t>
      </w:r>
    </w:p>
    <w:p>
      <w:pPr>
        <w:spacing w:after="0" w:line="129"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The Company expects to record substantially all of these costs during fiscal period Q3 2024 with cash outflows expected to occur over several years starting in 2025. Once completed, the Company expects these actions will materially improve the financial performance of the Pernis, Netherlands site while enabling the Company to continue to serve its customers with BPA, LER, solutions, and epoxy specialty resins as it does now prior to taking these actions.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and Essential Materials</w:t>
      </w:r>
    </w:p>
    <w:p>
      <w:pPr>
        <w:spacing w:after="0" w:line="108" w:lineRule="exact"/>
        <w:rPr>
          <w:sz w:val="20"/>
          <w:szCs w:val="20"/>
          <w:color w:val="auto"/>
        </w:rPr>
      </w:pPr>
    </w:p>
    <w:p>
      <w:pPr>
        <w:ind w:right="40" w:firstLine="405"/>
        <w:spacing w:after="0" w:line="252" w:lineRule="auto"/>
        <w:rPr>
          <w:sz w:val="20"/>
          <w:szCs w:val="20"/>
          <w:color w:val="auto"/>
        </w:rPr>
      </w:pPr>
      <w:r>
        <w:rPr>
          <w:rFonts w:ascii="Times New Roman" w:cs="Times New Roman" w:eastAsia="Times New Roman" w:hAnsi="Times New Roman"/>
          <w:sz w:val="18"/>
          <w:szCs w:val="18"/>
          <w:color w:val="auto"/>
        </w:rPr>
        <w:t>Our performance and essential materials such as ethylene, PVC, polyethylene, epoxy and caustic soda are some of the most widely used materials in the world and are upgraded into a wide variety of higher value-added products used in many end-markets. Westlake is the second-largest chlor-alkali producer and the second-largest PVC producer in the world, which makes Westlake a leading global chlorovinyls producer. Our performance and essential materials are used by customers in PVC pipe applications; housing and construction products; food and specialty packaging; industrial and consumer packaging; renewable wind energy; coatings; consumer durables; medical health applications; and mobility and transportation. Chlor-alkali and petrochemicals are typically manufactured globally in large volume by a number of different producers using widely available technologies. The chlor-alkali and petrochemical industries exhibit cyclical commodity characteristics, and margins are influenced by changes in the balance between global supply and demand and the resulting operating rates, the level of general economic activity and the price of raw materials. Due to the significant size of new plants, capacity additions are built in large increments and typically require several years of demand growth to be absorbed. The cycle is generally characterized by periods of tight supply, leading to high operating rates and margins, followed by a decline in operating rates and margins primarily as a result of excess new capacity additions. Westlake is a leading supplier of liquid and solid epoxy resins that are used in a wide variety of industrial coating applications. We are also one of the leading producers of epoxy specialty resins, modifiers and curing agents in Europe, the United States and Asia with a global reach to our end markets. Epoxy resins are the fundamental component of many types of materials and are often used in the automotive, construction, wind energy, aerospace and electronics industries due to their superior adhesion, strength and durability.</w:t>
      </w:r>
    </w:p>
    <w:p>
      <w:pPr>
        <w:spacing w:after="0" w:line="143"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Global demand for most of our products started to recover from the effects of the COVID-19 pandemic in the second half of 2020 and remained strong through the first half of 2022. However, since the second half of 2022 and during the early part of 2023, we saw significant volatility in natural gas and electricity costs, particularly in Europe, as well as in ethane and ethylene prices. We have experienced a decline in natural gas and electricity costs since the second half of 2023 through the second quarter of 2024. Since the first half of 2022, we have continued to experience lower prices and weak demand for most of our products globally through the first quarter of 2024, with signs of demand improving in the second quarter of 2024. The ongoing conflict between Russia and Ukraine since Russia's invasion of Ukraine in 2022, the conflict in the Middle East, slow economic growth in China, increase in bisphenol-A, epichlorohydrin and base epoxy resin exports out of Asia into European and North American markets, timing of certain new ethylene and polyethylene capacity additions in North America, Asia, and the Middle East, volatility in natural gas and electricity prices, volatility in crude oil prices and inflationary pressures could have a continuing negative impact on the performance of Performance and Essential Materials businesses.</w:t>
      </w:r>
    </w:p>
    <w:p>
      <w:pPr>
        <w:spacing w:after="0" w:line="134"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As noted in Item 1A, "Risk Factors" in our 2023 Form 10-K, we are subject to extensive environmental regulations, which may impose significant additional costs on our operations in the future. Further, concerns about greenhouse gas emissions and their possible effects on climate change has led to the enactment of regulations, and to proposed legislation and additional regulations, that could affect us in the form of increased cost of feedstocks and fuel, other increased costs of production and decreased demand for our products. While we do not expect any of these enactments or proposals to have a material adverse effect on us in the near term, we cannot predict the longer-term effect of any of these regulations on our future financial condition, results of operations or cash flows.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Housing and Infrastructure Products</w:t>
      </w:r>
    </w:p>
    <w:p>
      <w:pPr>
        <w:spacing w:after="0" w:line="94"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Our Housing and Infrastructure Products segment is primarily comprised of residential building products, PVC pipes and fittings and PVC compound products. Our sales are affected by new home constructions and home repair and remodeling as well as the decisions of distributors and dealers on the levels of inventory they carry, their views on product demand, their financial condition and the manner in which they choose to manage inventory risk. A significant portion of our performance in this segment is driven by the activities in the residential construction and repair and remodeling markets in North America, which began to decline at the end of the second quarter of 2022 primarily due to the negative effect that rising mortgage rates in the United States had on buyer sentiment. Since the beginning of 2024, with the stabilization of interest rates and the possibility of interest rate cuts by the U.S. Federal Reserve in the near term, we have seen improvement in the demand for housing products. Performance of our housing and infrastructure products businesses over time are generally reflective of the trends of building permits and housing starts in the New Residential Construction Survey by the U.S. Census Bureau and the Repair and Remodeling Index (RRI) provided by the National Association of Home Builders (the "NAHB") among others. Although we ultimately expect that the Infrastructure Investment and Jobs Act of 2021 and historically low residential housing construction that has resulted in an undersupply of existing housing may have a favorable long-term impact on our Housing and Infrastructure Products segment, the current inflationary environment impacting consumer spending and priorities and decade-high mortgage interest rates impacting consumer affordability are expected to have an unfavorable impact on the demand for housing construction in the near term and, as a result, our products produced by this segment.</w:t>
      </w:r>
    </w:p>
    <w:p>
      <w:pPr>
        <w:spacing w:after="0" w:line="133" w:lineRule="exact"/>
        <w:rPr>
          <w:sz w:val="20"/>
          <w:szCs w:val="20"/>
          <w:color w:val="auto"/>
        </w:rPr>
      </w:pPr>
    </w:p>
    <w:p>
      <w:pPr>
        <w:ind w:right="140" w:firstLine="405"/>
        <w:spacing w:after="0" w:line="255" w:lineRule="auto"/>
        <w:rPr>
          <w:sz w:val="20"/>
          <w:szCs w:val="20"/>
          <w:color w:val="auto"/>
        </w:rPr>
      </w:pPr>
      <w:r>
        <w:rPr>
          <w:rFonts w:ascii="Times New Roman" w:cs="Times New Roman" w:eastAsia="Times New Roman" w:hAnsi="Times New Roman"/>
          <w:sz w:val="18"/>
          <w:szCs w:val="18"/>
          <w:color w:val="auto"/>
        </w:rPr>
        <w:t>Factors that have caused volatility in our raw material prices, energy costs and production processes in the past, and which may do so in the future, include significant fluctuation in prices of these raw materials in response to, among other things, variable worldwide supply and demand across different industries, speculation in commodities futures, general economic, business or environmental conditions, labor costs, competition, import duties, tariffs, worldwide currency fluctuations, freight, inflationary pressures, regulatory costs, and product and process evolutions that impact demand for the same materials. Increasing raw material prices directly impact our cost of sales and our ability to maintain margins depends on implementing price increases in response to increasing raw material costs. The market for our products may or may not accept price increases, and as such, our future financial condition, results of operations or cash flows could be materially impacted.</w:t>
      </w: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94" w:lineRule="exact"/>
        <w:rPr>
          <w:sz w:val="20"/>
          <w:szCs w:val="20"/>
          <w:color w:val="auto"/>
        </w:rPr>
      </w:pPr>
    </w:p>
    <w:p>
      <w:pPr>
        <w:ind w:right="60" w:firstLine="405"/>
        <w:spacing w:after="0" w:line="253" w:lineRule="auto"/>
        <w:rPr>
          <w:sz w:val="20"/>
          <w:szCs w:val="20"/>
          <w:color w:val="auto"/>
        </w:rPr>
      </w:pPr>
      <w:r>
        <w:rPr>
          <w:rFonts w:ascii="Times New Roman" w:cs="Times New Roman" w:eastAsia="Times New Roman" w:hAnsi="Times New Roman"/>
          <w:sz w:val="18"/>
          <w:szCs w:val="18"/>
          <w:color w:val="auto"/>
        </w:rPr>
        <w:t>The body of accounting principles generally accepted in the United States is commonly referred to as "GAAP." For this purpose, a non-GAAP financial measure is generally defined by the Securities and Exchange Commission ("SEC") as one that purports to measure historical or future financial performance, financial position or cash flows that (1) excludes amounts, or is subject to adjustments that have the effect of excluding amounts, that are included in the most directly comparable measure calculated and presented in accordance with GAAP in the statement of income, balance sheet or statement of cash flows (or equivalent statements) of the registrant; or (2) includes amounts, or is subject to adjustments that have the effect of including amounts, that are excluded from the most directly comparable measure so calculated and presented. In this report, we disclose non-GAAP financial measures, primarily earnings before interest, taxes, depreciation and amortization ("EBITDA") and Free Cash Flow. We define EBITDA as net income before interest expense, income taxes, depreciation and amortization. We define Free Cash Flow as net cash provided by operating activities less additions to property, plant and equipment. The non-GAAP financial measures described in this Form 10-Q are not substitutes for the GAAP measures of earnings and cash flows.</w:t>
      </w:r>
    </w:p>
    <w:p>
      <w:pPr>
        <w:spacing w:after="0" w:line="140"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EBITDA is included in this Form 10-Q because our management considers it an important supplemental measure of our performance and believes that it is frequently used by securities analysts, investors and other interested parties in the evaluation of companies in our industry, some of which present EBITDA when reporting their results. We regularly evaluate our performance as compared to other companies in our industry that have different financing and capital structures and/or tax rates by using EBITDA. In addition, we utilize EBITDA in evaluating acquisition targets. Management also believes that EBITDA is a useful tool for measuring our ability to meet our future debt service and satisfy capital expenditure and working capital requirements, and EBITDA is commonly used by us and our investors to measure our ability to service indebtedness.</w:t>
      </w:r>
    </w:p>
    <w:p>
      <w:pPr>
        <w:spacing w:after="0" w:line="133"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Free Cash Flow is included in this Form 10-Q because our management considers it an important supplemental measure of our performance and believes that it is frequently used by securities analysts, investors and other interested parties in the evaluation of companies in our industry, some of which present Free Cash Flow when reporting their results. We regularly evaluate our performance as compared to other companies in our industry that have different financing and capital structures and/or tax rates by using Free Cash Flow. Management also believes that Free Cash Flow is useful to investors and securities analysts to evaluate our liquidity, evaluate strategic investment, evaluate our stock buyback plan and measure our ability to meet our future debt service.</w:t>
      </w:r>
    </w:p>
    <w:p>
      <w:pPr>
        <w:spacing w:after="0" w:line="133" w:lineRule="exact"/>
        <w:rPr>
          <w:sz w:val="20"/>
          <w:szCs w:val="20"/>
          <w:color w:val="auto"/>
        </w:rPr>
      </w:pPr>
    </w:p>
    <w:p>
      <w:pPr>
        <w:jc w:val="both"/>
        <w:ind w:right="60" w:firstLine="405"/>
        <w:spacing w:after="0" w:line="272" w:lineRule="auto"/>
        <w:rPr>
          <w:sz w:val="20"/>
          <w:szCs w:val="20"/>
          <w:color w:val="auto"/>
        </w:rPr>
      </w:pPr>
      <w:r>
        <w:rPr>
          <w:rFonts w:ascii="Times New Roman" w:cs="Times New Roman" w:eastAsia="Times New Roman" w:hAnsi="Times New Roman"/>
          <w:sz w:val="17"/>
          <w:szCs w:val="17"/>
          <w:color w:val="auto"/>
        </w:rPr>
        <w:t>EBITDA and Free Cash Flow are not substitutes for the GAAP measures of net income, income from operations and net cash provided by operating activities and are not necessarily measures of our ability to fund our cash needs. In addition, companies calculate EBITDA and Free Cash Flow differently and, therefore, EBITDA and Free Cash Flow as presented for us may not be comparable to EBITDA and Free Cash Flow reported by other companies.</w:t>
      </w:r>
    </w:p>
    <w:p>
      <w:pPr>
        <w:spacing w:after="0" w:line="2"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EBITDA has material limitations as a performance measure because it excludes interest expense, depreciation and amortization and income taxes. Free Cash Flow has material limitations as a performance measure because it only considers net cash provided by operating activities, and not net income or income from operations. For instance, it applies the entire cost of capital expenditure in the period in which the property or equipment is acquired, rather than spreading it over several periods as is the case with net income and income from operations.</w:t>
      </w:r>
    </w:p>
    <w:p>
      <w:pPr>
        <w:spacing w:after="0" w:line="135"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Reconciliations of EBITDA to net income, income from operations and net cash provided by operating activities, and Free Cash Flow to net cash provided by operating activities are included in the "Results of Operations" section below.</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Data</w:t>
      </w:r>
    </w:p>
    <w:p>
      <w:pPr>
        <w:spacing w:after="0" w:line="108" w:lineRule="exact"/>
        <w:rPr>
          <w:sz w:val="20"/>
          <w:szCs w:val="20"/>
          <w:color w:val="auto"/>
        </w:rPr>
      </w:pPr>
    </w:p>
    <w:p>
      <w:pPr>
        <w:ind w:right="440" w:firstLine="405"/>
        <w:spacing w:after="0" w:line="282" w:lineRule="auto"/>
        <w:rPr>
          <w:sz w:val="20"/>
          <w:szCs w:val="20"/>
          <w:color w:val="auto"/>
        </w:rPr>
      </w:pPr>
      <w:r>
        <w:rPr>
          <w:rFonts w:ascii="Times New Roman" w:cs="Times New Roman" w:eastAsia="Times New Roman" w:hAnsi="Times New Roman"/>
          <w:sz w:val="18"/>
          <w:szCs w:val="18"/>
          <w:color w:val="auto"/>
        </w:rPr>
        <w:t>The table below and descriptions that follow represent the consolidated results of operations of the Company for the three and six months ended June 30, 2024 and 2023.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External Sales</w:t>
      </w:r>
    </w:p>
    <w:p>
      <w:pPr>
        <w:spacing w:after="0" w:line="92"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The table below presents net external sales on a disaggregated basis for our two principal operating segments. Performance Materials net external sales primarily consist of sales of PVC, polyethylene and epoxy. Essential Materials net external sales primarily consist of sales of caustic soda, styrene, and related derivative materials. Housing Products net external sales primarily consist of sales of housing exterior and interior products, residential pipes and fittings and residential products utilizing PVC compounds. Infrastructure Products net external sales primarily consist of sales of infrastructure related pipes and fittings and infrastructure products utilizing PVC compounds.</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0" w:type="dxa"/>
            <w:vAlign w:val="bottom"/>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2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522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9"/>
        </w:trPr>
        <w:tc>
          <w:tcPr>
            <w:tcW w:w="5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4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 of dollars, except per share data)</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
        </w:trPr>
        <w:tc>
          <w:tcPr>
            <w:tcW w:w="5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external sales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Performance Materials</w:t>
            </w:r>
          </w:p>
        </w:tc>
        <w:tc>
          <w:tcPr>
            <w:tcW w:w="88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w:t>
            </w:r>
          </w:p>
        </w:tc>
      </w:tr>
      <w:tr>
        <w:trPr>
          <w:trHeight w:val="230"/>
        </w:trPr>
        <w:tc>
          <w:tcPr>
            <w:tcW w:w="5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Essential Materials</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w:t>
            </w:r>
          </w:p>
        </w:tc>
      </w:tr>
      <w:tr>
        <w:trPr>
          <w:trHeight w:val="223"/>
        </w:trPr>
        <w:tc>
          <w:tcPr>
            <w:tcW w:w="5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Performance and Essential Materials</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w:t>
            </w:r>
          </w:p>
        </w:tc>
      </w:tr>
      <w:tr>
        <w:trPr>
          <w:trHeight w:val="21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9"/>
        </w:trPr>
        <w:tc>
          <w:tcPr>
            <w:tcW w:w="5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Housing Products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w:t>
            </w:r>
          </w:p>
        </w:tc>
      </w:tr>
      <w:tr>
        <w:trPr>
          <w:trHeight w:val="229"/>
        </w:trPr>
        <w:tc>
          <w:tcPr>
            <w:tcW w:w="5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Infrastructure Products</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23"/>
        </w:trPr>
        <w:tc>
          <w:tcPr>
            <w:tcW w:w="5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Housing and Infrastructure Products</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w:t>
            </w:r>
          </w:p>
        </w:tc>
      </w:tr>
      <w:tr>
        <w:trPr>
          <w:trHeight w:val="223"/>
        </w:trPr>
        <w:tc>
          <w:tcPr>
            <w:tcW w:w="5220" w:type="dxa"/>
            <w:vAlign w:val="bottom"/>
          </w:tcPr>
          <w:p>
            <w:pPr>
              <w:spacing w:after="0"/>
              <w:rPr>
                <w:sz w:val="19"/>
                <w:szCs w:val="19"/>
                <w:color w:val="auto"/>
              </w:rPr>
            </w:pPr>
          </w:p>
        </w:tc>
        <w:tc>
          <w:tcPr>
            <w:tcW w:w="88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6,607</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5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88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5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income from operations</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2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r>
      <w:tr>
        <w:trPr>
          <w:trHeight w:val="230"/>
        </w:trPr>
        <w:tc>
          <w:tcPr>
            <w:tcW w:w="5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Westlake Corporation</w:t>
            </w:r>
          </w:p>
        </w:tc>
        <w:tc>
          <w:tcPr>
            <w:tcW w:w="88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880" w:type="dxa"/>
            <w:vAlign w:val="bottom"/>
            <w:tcBorders>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2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 xml:space="preserve">EBITDA </w:t>
            </w:r>
            <w:r>
              <w:rPr>
                <w:rFonts w:ascii="Times New Roman" w:cs="Times New Roman" w:eastAsia="Times New Roman" w:hAnsi="Times New Roman"/>
                <w:sz w:val="23"/>
                <w:szCs w:val="23"/>
                <w:color w:val="auto"/>
                <w:vertAlign w:val="superscript"/>
              </w:rPr>
              <w:t>(1)</w:t>
            </w:r>
          </w:p>
        </w:tc>
        <w:tc>
          <w:tcPr>
            <w:tcW w:w="880" w:type="dxa"/>
            <w:vAlign w:val="bottom"/>
            <w:tcBorders>
              <w:bottom w:val="single" w:sz="8" w:color="auto"/>
            </w:tcBorders>
          </w:tcPr>
          <w:p>
            <w:pPr>
              <w:jc w:val="right"/>
              <w:ind w:right="694"/>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744</w:t>
            </w:r>
          </w:p>
        </w:tc>
        <w:tc>
          <w:tcPr>
            <w:tcW w:w="120" w:type="dxa"/>
            <w:vAlign w:val="bottom"/>
          </w:tcPr>
          <w:p>
            <w:pPr>
              <w:spacing w:after="0"/>
              <w:rPr>
                <w:sz w:val="17"/>
                <w:szCs w:val="17"/>
                <w:color w:val="auto"/>
              </w:rPr>
            </w:pPr>
          </w:p>
        </w:tc>
        <w:tc>
          <w:tcPr>
            <w:tcW w:w="900" w:type="dxa"/>
            <w:vAlign w:val="bottom"/>
            <w:tcBorders>
              <w:bottom w:val="single" w:sz="8" w:color="auto"/>
            </w:tcBorders>
          </w:tcPr>
          <w:p>
            <w:pPr>
              <w:jc w:val="right"/>
              <w:ind w:right="714"/>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690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1,290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1,515</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8"/>
        </w:trPr>
        <w:tc>
          <w:tcPr>
            <w:tcW w:w="522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Free Cash Flow </w:t>
            </w:r>
            <w:r>
              <w:rPr>
                <w:rFonts w:ascii="Times New Roman" w:cs="Times New Roman" w:eastAsia="Times New Roman" w:hAnsi="Times New Roman"/>
                <w:sz w:val="23"/>
                <w:szCs w:val="23"/>
                <w:color w:val="auto"/>
                <w:vertAlign w:val="superscript"/>
              </w:rPr>
              <w:t>(2)</w:t>
            </w:r>
          </w:p>
        </w:tc>
        <w:tc>
          <w:tcPr>
            <w:tcW w:w="880" w:type="dxa"/>
            <w:vAlign w:val="bottom"/>
            <w:tcBorders>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90" w:lineRule="exact"/>
        <w:rPr>
          <w:sz w:val="20"/>
          <w:szCs w:val="20"/>
          <w:color w:val="auto"/>
        </w:rPr>
      </w:pPr>
    </w:p>
    <w:p>
      <w:pPr>
        <w:ind w:left="500" w:right="40" w:hanging="492"/>
        <w:spacing w:after="0" w:line="281" w:lineRule="auto"/>
        <w:tabs>
          <w:tab w:leader="none" w:pos="49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above for discussions on non-GAAP financial measures. See "Reconciliation of EBITDA to Net Income, Income from Operations and Net Cash Provided by Operating Activities" below.</w:t>
      </w:r>
    </w:p>
    <w:p>
      <w:pPr>
        <w:spacing w:after="0" w:line="1" w:lineRule="exact"/>
        <w:rPr>
          <w:rFonts w:ascii="Times New Roman" w:cs="Times New Roman" w:eastAsia="Times New Roman" w:hAnsi="Times New Roman"/>
          <w:sz w:val="18"/>
          <w:szCs w:val="18"/>
          <w:color w:val="auto"/>
        </w:rPr>
      </w:pPr>
    </w:p>
    <w:p>
      <w:pPr>
        <w:ind w:left="500" w:right="100" w:hanging="492"/>
        <w:spacing w:after="0" w:line="282" w:lineRule="auto"/>
        <w:tabs>
          <w:tab w:leader="none" w:pos="49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above for discussions on non-GAAP financial measures. See "Reconciliation of Free Cash Flow to Net Cash Provided by Operating Activities" below.</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324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3120" w:type="dxa"/>
            <w:vAlign w:val="bottom"/>
            <w:gridSpan w:val="5"/>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2060" w:type="dxa"/>
            <w:vAlign w:val="bottom"/>
            <w:gridSpan w:val="3"/>
          </w:tcPr>
          <w:p>
            <w:pPr>
              <w:jc w:val="center"/>
              <w:ind w:right="520"/>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1620" w:type="dxa"/>
            <w:vAlign w:val="bottom"/>
            <w:gridSpan w:val="4"/>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206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Sales Price</w:t>
            </w:r>
          </w:p>
        </w:tc>
        <w:tc>
          <w:tcPr>
            <w:tcW w:w="1180" w:type="dxa"/>
            <w:vAlign w:val="bottom"/>
            <w:gridSpan w:val="3"/>
            <w:vMerge w:val="continue"/>
          </w:tcPr>
          <w:p>
            <w:pPr>
              <w:spacing w:after="0"/>
              <w:rPr>
                <w:sz w:val="16"/>
                <w:szCs w:val="16"/>
                <w:color w:val="auto"/>
              </w:rPr>
            </w:pPr>
          </w:p>
        </w:tc>
        <w:tc>
          <w:tcPr>
            <w:tcW w:w="16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Sales Price</w:t>
            </w:r>
          </w:p>
        </w:tc>
        <w:tc>
          <w:tcPr>
            <w:tcW w:w="15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840" w:type="dxa"/>
            <w:vAlign w:val="bottom"/>
            <w:tcBorders>
              <w:top w:val="single" w:sz="8" w:color="CCEEFF"/>
            </w:tcBorders>
            <w:shd w:val="clear" w:color="auto" w:fill="CCEEFF"/>
          </w:tcPr>
          <w:p>
            <w:pPr>
              <w:ind w:left="20"/>
              <w:spacing w:after="0" w:line="165" w:lineRule="exact"/>
              <w:rPr>
                <w:sz w:val="20"/>
                <w:szCs w:val="20"/>
                <w:color w:val="auto"/>
              </w:rPr>
            </w:pPr>
            <w:r>
              <w:rPr>
                <w:rFonts w:ascii="Times New Roman" w:cs="Times New Roman" w:eastAsia="Times New Roman" w:hAnsi="Times New Roman"/>
                <w:sz w:val="18"/>
                <w:szCs w:val="18"/>
                <w:b w:val="1"/>
                <w:bCs w:val="1"/>
                <w:color w:val="auto"/>
              </w:rPr>
              <w:t>Net sales percentage change from prior-year period due to</w:t>
            </w:r>
          </w:p>
        </w:tc>
        <w:tc>
          <w:tcPr>
            <w:tcW w:w="15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average sales price and volume</w:t>
            </w: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average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-17 %</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CCEEFF"/>
            </w:tcBorders>
            <w:shd w:val="clear" w:color="auto" w:fill="CCEEFF"/>
          </w:tcPr>
          <w:p>
            <w:pPr>
              <w:spacing w:after="0"/>
              <w:rPr>
                <w:sz w:val="18"/>
                <w:szCs w:val="18"/>
                <w:color w:val="auto"/>
              </w:rPr>
            </w:pPr>
          </w:p>
        </w:tc>
        <w:tc>
          <w:tcPr>
            <w:tcW w:w="690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Domestic US prices percentage change from prior-year period for fuel cost and feedstock</w:t>
            </w:r>
          </w:p>
        </w:tc>
        <w:tc>
          <w:tcPr>
            <w:tcW w:w="10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Fuel cost (Natural Gas)</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Feedstock (Ethane)</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EBITDA to Net Income, Income from Operations and Net Cash Provided by Operating Activities</w:t>
      </w:r>
    </w:p>
    <w:p>
      <w:pPr>
        <w:spacing w:after="0" w:line="94"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reconciliation of EBITDA to net income, income from operations and net cash provided by operating activities, the most directly comparable GAAP financial measures, for each of the periods indicated.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4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2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9"/>
        </w:trPr>
        <w:tc>
          <w:tcPr>
            <w:tcW w:w="5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
        </w:trPr>
        <w:tc>
          <w:tcPr>
            <w:tcW w:w="5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4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r>
      <w:tr>
        <w:trPr>
          <w:trHeight w:val="230"/>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 and other</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w:t>
            </w:r>
          </w:p>
        </w:tc>
      </w:tr>
      <w:tr>
        <w:trPr>
          <w:trHeight w:val="20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5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r>
      <w:tr>
        <w:trPr>
          <w:trHeight w:val="20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r>
      <w:tr>
        <w:trPr>
          <w:trHeight w:val="230"/>
        </w:trPr>
        <w:tc>
          <w:tcPr>
            <w:tcW w:w="5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Free Cash Flow to Net Cash Provided by Operating Activities</w:t>
      </w:r>
    </w:p>
    <w:p>
      <w:pPr>
        <w:spacing w:after="0" w:line="108"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reconciliation of Free Cash Flow to net cash provided by operating activities, the most directly comparable GAAP financial measure, for each of the periods indicated.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3020" w:type="dxa"/>
            <w:vAlign w:val="bottom"/>
            <w:gridSpan w:val="6"/>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0" w:type="dxa"/>
            <w:vAlign w:val="bottom"/>
          </w:tcPr>
          <w:p>
            <w:pPr>
              <w:spacing w:after="0"/>
              <w:rPr>
                <w:sz w:val="2"/>
                <w:szCs w:val="2"/>
                <w:color w:val="auto"/>
              </w:rPr>
            </w:pPr>
          </w:p>
        </w:tc>
        <w:tc>
          <w:tcPr>
            <w:tcW w:w="52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4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9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r>
      <w:tr>
        <w:trPr>
          <w:trHeight w:val="219"/>
        </w:trPr>
        <w:tc>
          <w:tcPr>
            <w:tcW w:w="4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2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
        </w:trPr>
        <w:tc>
          <w:tcPr>
            <w:tcW w:w="40" w:type="dxa"/>
            <w:vAlign w:val="bottom"/>
          </w:tcPr>
          <w:p>
            <w:pPr>
              <w:spacing w:after="0"/>
              <w:rPr>
                <w:sz w:val="2"/>
                <w:szCs w:val="2"/>
                <w:color w:val="auto"/>
              </w:rPr>
            </w:pPr>
          </w:p>
        </w:tc>
        <w:tc>
          <w:tcPr>
            <w:tcW w:w="5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40" w:type="dxa"/>
            <w:vAlign w:val="bottom"/>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6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9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503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960" w:type="dxa"/>
            <w:vAlign w:val="bottom"/>
            <w:tcBorders>
              <w:bottom w:val="single" w:sz="8" w:color="auto"/>
            </w:tcBorders>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99"/>
              </w:rPr>
              <w:t>(97)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4"/>
        </w:trPr>
        <w:tc>
          <w:tcPr>
            <w:tcW w:w="4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960" w:type="dxa"/>
            <w:vAlign w:val="bottom"/>
          </w:tcPr>
          <w:p>
            <w:pPr>
              <w:jc w:val="right"/>
              <w:ind w:right="397"/>
              <w:spacing w:after="0"/>
              <w:rPr>
                <w:sz w:val="20"/>
                <w:szCs w:val="20"/>
                <w:color w:val="auto"/>
              </w:rPr>
            </w:pPr>
            <w:r>
              <w:rPr>
                <w:rFonts w:ascii="Times New Roman" w:cs="Times New Roman" w:eastAsia="Times New Roman" w:hAnsi="Times New Roman"/>
                <w:sz w:val="18"/>
                <w:szCs w:val="18"/>
                <w:color w:val="auto"/>
              </w:rPr>
              <w:t>28</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52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94"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For the quarter ended June 30, 2024, net income attributable to Westlake was $313 million, or $2.40 per diluted share, on net sales of $3,207 million. This represents an increase in net income attributable to Westlake of $16 million, or $0.09 per diluted share, compared to the quarter ended June 30, 2023 net income attributable to Westlake of $297 million, or $2.31 per diluted share, on net sales of $3,251 million. Income from operations for the quarter ended June 30, 2024 was $406 million, a $10 million increase from income from operations of $396 million for the quarter ended June 30, 2023. The increase in net income and income from operations was primarily due to higher sales volumes for PVC resin, caustic soda, chlorine, pipe and fittings and siding and trim and lower feedstock and natural gas costs. The overall increase in net income and income from operations in the second quarter of 2024 were partially offset by lower sales prices for our products across both segments and slightly higher selling, general and administrative expenses. Our Housing and Infrastructure Products segment continued to benefit from strong demand in housing end markets while our Performance and Essential Materials segment reflected improvement during the second quarter of 2024. Net income was also positively impacted by higher interest income. Net sales decreased by $44 million to $3,207 million in the quarter ended June 30, 2024 from $3,251 million in the quarter ended June 30, 2023, primarily due to lower sales prices for our products across both segments, partially offset by an increase in sales volumes for PVC resin, caustic soda, chlorine, pipe and fittings and siding and trim.</w:t>
      </w:r>
    </w:p>
    <w:p>
      <w:pPr>
        <w:spacing w:after="0" w:line="136"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For the six months ended June 30, 2024, net income attributable to Westlake was $487 million, or $3.75 per diluted share, on net sales of $6,182 million. This represents a decrease in net income attributable to Westlake of $204 million, or $1.60 per diluted share, compared to the six months ended June 30, 2023 net income attributable to Westlake of $691 million, or $5.35 per diluted share, on net sales of $6,607 million. Income from operations for the six months ended June 30, 2024 was $629 million, a $303 million decrease from income from operations of $932 million for the six months ended June 30, 2023. The decrease in net income and income from operations was primarily due to lower sales prices for our products across both segments. The decreases in net income and income from operations in the six months ended June 30, 2024 were partially offset by higher PVC resin, caustic soda, chlorine, polyethylene, pipe and fittings and siding and trim sales volumes and lower natural gas and feedstock costs. Net income was also favorably impacted by higher interest income. Net sales decreased by $425 million to $6,182 million in the six months ended June 30, 2024 from $6,607 million in the six months ended June 30, 2023, primarily due to lower sales prices for our products, partially offset by higher sales volumes for PVC resin, caustic soda, chlorine, polyethylene, pipe and fittings and siding and trim.</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Quarter 2024 Compared with Second Quarter 2023</w:t>
      </w:r>
    </w:p>
    <w:p>
      <w:pPr>
        <w:spacing w:after="0" w:line="92"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decreased by $44 million, or 1%, to $3,207 million in the second quarter of 2024 from $3,251 million in the second quarter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primarily due to lower sales prices for most of our products across both segments. Average sales prices for the second quarter of 2024 decreased by 14% as compared to the second quarter of 2023 as a result of lower sales prices for our products across both segments. Sales volumes increased by 12% in the second quarter of 2024 as compared to the second quarter of 2023, due to higher sales volumes for several of our products in both segments, particularly PVC resin, caustic soda, chlorine, pipe and fittings and siding and trim.</w:t>
      </w:r>
    </w:p>
    <w:p>
      <w:pPr>
        <w:spacing w:after="0" w:line="129" w:lineRule="exact"/>
        <w:rPr>
          <w:sz w:val="20"/>
          <w:szCs w:val="20"/>
          <w:color w:val="auto"/>
        </w:rPr>
      </w:pPr>
    </w:p>
    <w:p>
      <w:pPr>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Gross profit margin was 21% in the second quarter of 2024 as compared to 20% in the second quarter of 2023. The increase in gross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profit margin was primarily due to higher sales volumes for several of our products, which was partially offset by lower sales prices for our products across both segments.</w:t>
      </w:r>
    </w:p>
    <w:p>
      <w:pPr>
        <w:spacing w:after="0" w:line="119" w:lineRule="exact"/>
        <w:rPr>
          <w:sz w:val="20"/>
          <w:szCs w:val="20"/>
          <w:color w:val="auto"/>
        </w:rPr>
      </w:pPr>
    </w:p>
    <w:p>
      <w:pPr>
        <w:ind w:right="20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Selling, general and administrative expenses increased by $11 million to $224 million in the second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2024 as compared to $213 million in the second quarter of 2023. This increase was mainly due to higher professional consulting and selling expenses.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Amortization of Intangibles. </w:t>
      </w:r>
      <w:r>
        <w:rPr>
          <w:rFonts w:ascii="Times New Roman" w:cs="Times New Roman" w:eastAsia="Times New Roman" w:hAnsi="Times New Roman"/>
          <w:sz w:val="18"/>
          <w:szCs w:val="18"/>
          <w:color w:val="auto"/>
        </w:rPr>
        <w:t>Amortization expense in the second quarter of 2024 was comparable to the second quarter of 2023.</w:t>
      </w:r>
    </w:p>
    <w:p>
      <w:pPr>
        <w:spacing w:after="0" w:line="171" w:lineRule="exact"/>
        <w:rPr>
          <w:sz w:val="20"/>
          <w:szCs w:val="20"/>
          <w:color w:val="auto"/>
        </w:rPr>
      </w:pPr>
    </w:p>
    <w:p>
      <w:pPr>
        <w:ind w:right="10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Restructuring, Transaction and Integration-related Costs</w:t>
      </w:r>
      <w:r>
        <w:rPr>
          <w:rFonts w:ascii="Times New Roman" w:cs="Times New Roman" w:eastAsia="Times New Roman" w:hAnsi="Times New Roman"/>
          <w:sz w:val="18"/>
          <w:szCs w:val="18"/>
          <w:color w:val="auto"/>
        </w:rPr>
        <w:t>. Restructuring, transaction and integration-related costs in the second quarter of 2024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comparable to the second quarter of 2023.</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in the second quarter of 2024 was comparable to the second quarter of 2023.</w:t>
      </w:r>
    </w:p>
    <w:p>
      <w:pPr>
        <w:spacing w:after="0" w:line="171" w:lineRule="exact"/>
        <w:rPr>
          <w:sz w:val="20"/>
          <w:szCs w:val="20"/>
          <w:color w:val="auto"/>
        </w:rPr>
      </w:pPr>
    </w:p>
    <w:p>
      <w:pPr>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net increased by $36 million to $59 million in the second quarter of 2024 from $23 million in the second quarter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substantially due to higher interest income attributable to a higher average cash and cash equivalents balance and higher interest rates in the second quarter of 2024 as compared to the second quarter of 2023.</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The effective income tax rate was 23.8% for the second quarter of 2024 as compared to 18.6% for the second quarter of 2023.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tax rate in the second quarter of 2024 was higher compared to the second quarter of 2023 primarily due to higher foreign taxes, partially offset by lower state taxes in the second quarter of 2024. The reduction of reserves for uncertain income tax positions, as a result of a closed federal income tax audit in the second quarter of 2023, also contributed to lower effective income tax rate for the second quarter of 2023.</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and Essential Materials Segment</w:t>
      </w:r>
    </w:p>
    <w:p>
      <w:pPr>
        <w:spacing w:after="0" w:line="92" w:lineRule="exact"/>
        <w:rPr>
          <w:sz w:val="20"/>
          <w:szCs w:val="20"/>
          <w:color w:val="auto"/>
        </w:rPr>
      </w:pPr>
    </w:p>
    <w:p>
      <w:pPr>
        <w:ind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for the Performance and Essential Materials segment decreased by $123 million, or 6%, to $2,013 million in the second quarter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from $2,136 million in the second quarter of 2023. Average sales prices for the Performance and Essential Materials segment decreased by 16% in the second quarter of 2024 as compared to the second quarter of 2023. Lower Performance Materials sales prices were primarily due to lower PVC resin sales prices. Lower Essential Materials sales prices were primarily due to lower caustic soda and chlorine sales prices. Sales volumes for the Performance and Essential Materials segment increased by 11% in the second quarter of 2024 as compared to the second quarter of 2023 primarily due to higher PVC resin, caustic soda and chlorine sales volumes.</w:t>
      </w:r>
    </w:p>
    <w:p>
      <w:pPr>
        <w:spacing w:after="0" w:line="128"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Income from Operations</w:t>
      </w:r>
      <w:r>
        <w:rPr>
          <w:rFonts w:ascii="Times New Roman" w:cs="Times New Roman" w:eastAsia="Times New Roman" w:hAnsi="Times New Roman"/>
          <w:sz w:val="18"/>
          <w:szCs w:val="18"/>
          <w:color w:val="auto"/>
        </w:rPr>
        <w:t>. Income from operations for the Performance and Essential Materials segment decreased by $58 million to $157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second quarter of 2024 from $215 million in the second quarter of 2023. This decrease in income from operations in the second quarter of 2024, as compared to the second quarter of 2023, was primarily due to lower sales prices for our major products, particularly PVC resin and caustic soda. These decreases were partially offset by higher sales volume for PVC resin and caustic soda and lower natural gas and feedstock costs.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Housing and Infrastructure Products Segment</w:t>
      </w:r>
    </w:p>
    <w:p>
      <w:pPr>
        <w:spacing w:after="0" w:line="106"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for the Housing and Infrastructure Products segment increased by $79 million, or 7%, to $1,194 million in the second quarter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from $1,115 million in the second quarter of 2023. Average sales prices for the Housing and Infrastructure Products segment decreased by 9% in the second quarter of 2024 as compared to the second quarter of 2023, primarily due to lower sales prices across all of our products in this segment. Sales volumes for the Housing and Infrastructure Products segment increased by 16% in the second quarter of 2024 as compared to the second quarter of 2023 primarily due to strong demand in housing end markets, particularly for pipe and fittings and siding and trim.</w:t>
      </w:r>
    </w:p>
    <w:p>
      <w:pPr>
        <w:spacing w:after="0" w:line="129" w:lineRule="exact"/>
        <w:rPr>
          <w:sz w:val="20"/>
          <w:szCs w:val="20"/>
          <w:color w:val="auto"/>
        </w:rPr>
      </w:pPr>
    </w:p>
    <w:p>
      <w:pPr>
        <w:ind w:right="18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from Operations. </w:t>
      </w:r>
      <w:r>
        <w:rPr>
          <w:rFonts w:ascii="Times New Roman" w:cs="Times New Roman" w:eastAsia="Times New Roman" w:hAnsi="Times New Roman"/>
          <w:sz w:val="18"/>
          <w:szCs w:val="18"/>
          <w:color w:val="auto"/>
        </w:rPr>
        <w:t>Income from operations for the Housing and Infrastructure Products segment increased by $76 million to $266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second quarter of 2024 from $190 million in the second quarter of 2023. This increase in income from operations in the second quarter of 2024, as compared to the second quarter of 2023, was primarily due to higher sales volumes for pipe and fittings and siding and trim and lower raw material costs.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2024 Compared with Six Months Ended June 30, 2023</w:t>
      </w:r>
    </w:p>
    <w:p>
      <w:pPr>
        <w:spacing w:after="0" w:line="106" w:lineRule="exact"/>
        <w:rPr>
          <w:sz w:val="20"/>
          <w:szCs w:val="20"/>
          <w:color w:val="auto"/>
        </w:rPr>
      </w:pPr>
    </w:p>
    <w:p>
      <w:pPr>
        <w:ind w:right="20" w:firstLine="405"/>
        <w:spacing w:after="0" w:line="277" w:lineRule="auto"/>
        <w:rPr>
          <w:sz w:val="20"/>
          <w:szCs w:val="20"/>
          <w:color w:val="auto"/>
        </w:rPr>
      </w:pPr>
      <w:r>
        <w:rPr>
          <w:rFonts w:ascii="Times New Roman" w:cs="Times New Roman" w:eastAsia="Times New Roman" w:hAnsi="Times New Roman"/>
          <w:sz w:val="17"/>
          <w:szCs w:val="17"/>
          <w:i w:val="1"/>
          <w:iCs w:val="1"/>
          <w:color w:val="auto"/>
        </w:rPr>
        <w:t>Net Sales</w:t>
      </w:r>
      <w:r>
        <w:rPr>
          <w:rFonts w:ascii="Times New Roman" w:cs="Times New Roman" w:eastAsia="Times New Roman" w:hAnsi="Times New Roman"/>
          <w:sz w:val="17"/>
          <w:szCs w:val="17"/>
          <w:color w:val="auto"/>
        </w:rPr>
        <w:t>. Net sales decreased by $425 million, or 6%, to $6,182 million in the six months ended June 30, 2024 from $6,607 million in the six months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June 30, 2023, primarily due to lower sales prices for most of our products across both segments. Average sales prices for the six months ended June 30, 2024 decreased by 17% as compared to the six months ended June 30, 2023 as a result of continuing lower demand for several of our products in the Performance and Essential Materials segment, including caustic soda. Sales volumes increased by 10% in the six months ended June 30, 2024 as compared to the six months ended June 30, 2023, due to increased demand for PVC resin, caustic soda, chlorine, polyethylene, pipe and fittings and siding and trim.</w:t>
      </w:r>
    </w:p>
    <w:p>
      <w:pPr>
        <w:spacing w:after="0" w:line="114" w:lineRule="exact"/>
        <w:rPr>
          <w:sz w:val="20"/>
          <w:szCs w:val="20"/>
          <w:color w:val="auto"/>
        </w:rPr>
      </w:pPr>
    </w:p>
    <w:p>
      <w:pPr>
        <w:jc w:val="both"/>
        <w:ind w:right="26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Gross profit margin was 18% in the six months ended June 30, 2024 as compared to 22% in the six months ended June 30, 2023.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in gross profit margin was primarily due to lower prices for most of our products, which was partially offset by lower natural gas and feedstock costs.</w:t>
      </w:r>
    </w:p>
    <w:p>
      <w:pPr>
        <w:spacing w:after="0" w:line="119" w:lineRule="exact"/>
        <w:rPr>
          <w:sz w:val="20"/>
          <w:szCs w:val="20"/>
          <w:color w:val="auto"/>
        </w:rPr>
      </w:pPr>
    </w:p>
    <w:p>
      <w:pPr>
        <w:jc w:val="both"/>
        <w:ind w:right="26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Selling, general and administrative expenses of $433 million in the six months ended June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comparable to $435 million in the six months ended June 30, 2023.</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Amortization of Intangibles. </w:t>
      </w:r>
      <w:r>
        <w:rPr>
          <w:rFonts w:ascii="Times New Roman" w:cs="Times New Roman" w:eastAsia="Times New Roman" w:hAnsi="Times New Roman"/>
          <w:sz w:val="18"/>
          <w:szCs w:val="18"/>
          <w:color w:val="auto"/>
        </w:rPr>
        <w:t>Amortization expense in the six months ended June 30, 2024 was comparable to the six months ended June 30, 2023.</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Restructuring, Transaction and Integration-related Costs</w:t>
      </w:r>
      <w:r>
        <w:rPr>
          <w:rFonts w:ascii="Times New Roman" w:cs="Times New Roman" w:eastAsia="Times New Roman" w:hAnsi="Times New Roman"/>
          <w:sz w:val="18"/>
          <w:szCs w:val="18"/>
          <w:color w:val="auto"/>
        </w:rPr>
        <w:t>. Restructuring, transaction and integration-related costs in the six months ended June 30,</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were comparable to the six months ended June 30, 2023.</w:t>
      </w:r>
    </w:p>
    <w:p>
      <w:pPr>
        <w:spacing w:after="0" w:line="151" w:lineRule="exact"/>
        <w:rPr>
          <w:sz w:val="20"/>
          <w:szCs w:val="20"/>
          <w:color w:val="auto"/>
        </w:rPr>
      </w:pPr>
    </w:p>
    <w:p>
      <w:pPr>
        <w:ind w:right="18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decreased slightly by $3 million to $81 million in the six months ended June 30, 2024 from $84 million in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2023, primarily due to higher capitalized interest on capital projects.</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right="14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net increased by $64.0 million to $109 million in the six months ended June 30, 2024 from $45 million in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2023, substantially due to higher average cash and cash equivalents balance and higher interest rates in the six months ended June 30, 2024 as compared to the six months ended June 30, 2023.</w:t>
      </w:r>
    </w:p>
    <w:p>
      <w:pPr>
        <w:spacing w:after="0" w:line="119"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The effective income tax rate was 22.7% for the six months ended June 30, 2024 as compared to 20.0% for the six months ended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2023. The effective tax rate in the six months ended June 30, 2024 was higher compared to the six months ended June 30, 2023 primarily due to higher foreign taxes partially offset by lower state taxes for the six months ended June 30, 2024. The reduction of reserves for uncertain income tax positions, as a result of a closed federal income tax audit in the six months ended June 30, 2023, also contributed to lower effective income tax rate for the six months ended June 30, 2023.</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and Essential Materials Segment</w:t>
      </w:r>
    </w:p>
    <w:p>
      <w:pPr>
        <w:spacing w:after="0" w:line="92" w:lineRule="exact"/>
        <w:rPr>
          <w:sz w:val="20"/>
          <w:szCs w:val="20"/>
          <w:color w:val="auto"/>
        </w:rPr>
      </w:pPr>
    </w:p>
    <w:p>
      <w:pPr>
        <w:ind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for the Performance and Essential Materials segment decreased by $541 million, or 12%, to $3,944 million in the six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2024 from $4,485 million in the six months ended June 30, 2023. Average sales prices for the Performance and Essential Materials segment decreased by 20% in the six months ended June 30, 2024 as compared to the six months ended June 30, 2023. Lower Performance Materials sales prices were primarily due to lower PVC resin and epoxy sales prices. Lower Essential Materials sales prices were primarily due to lower caustic soda sales prices. Sales volumes for the Performance and Essential Materials segment increased by 8% in the six months ended June 30, 2024 as compared to the six months ended June 30, 2023 primarily due to higher PVC resin, caustic soda and chlorine and polyethylene sales volumes.</w:t>
      </w:r>
    </w:p>
    <w:p>
      <w:pPr>
        <w:spacing w:after="0" w:line="128"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Income from Operations</w:t>
      </w:r>
      <w:r>
        <w:rPr>
          <w:rFonts w:ascii="Times New Roman" w:cs="Times New Roman" w:eastAsia="Times New Roman" w:hAnsi="Times New Roman"/>
          <w:sz w:val="18"/>
          <w:szCs w:val="18"/>
          <w:color w:val="auto"/>
        </w:rPr>
        <w:t>. Income from operations for the Performance and Essential Materials segment decreased by $439 million to $179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six months ended June 30, 2024 from $618 million in the six months ended June 30, 2023. This decrease in income from operations in the six months ended June 30, 2024, as compared to the six months ended June 30, 2023, was primarily due to lower sales prices for our major products, particularly PVC resin, caustic soda and epoxy. These decreases were partially offset by higher sales volumes for PVC resin, caustic soda, chlorine and polyethylene and lower natural gas and feedstock costs.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Housing and Infrastructure Products Segment</w:t>
      </w:r>
    </w:p>
    <w:p>
      <w:pPr>
        <w:spacing w:after="0" w:line="106" w:lineRule="exact"/>
        <w:rPr>
          <w:sz w:val="20"/>
          <w:szCs w:val="20"/>
          <w:color w:val="auto"/>
        </w:rPr>
      </w:pPr>
    </w:p>
    <w:p>
      <w:pPr>
        <w:ind w:right="2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for the Housing and Infrastructure Products segment increased by $116 million, or 5%, to $2,238 million in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2024 from $2,122 million in the six months ended June 30, 2023. Average sales prices for the Housing and Infrastructure Products segment decreased by 9% in the six months ended June 30, 2024 as compared to the six months ended June 30, 2023, primarily due to lower sales prices across all of our products in this segment. Sales volumes for the Housing and Infrastructure Products segment increased by 15% in the six months ended June 30, 2024 as compared to the six months ended June 30, 2023 primarily due to strong demand in housing end markets, particularly for pipe and fittings and siding and trim.</w:t>
      </w:r>
    </w:p>
    <w:p>
      <w:pPr>
        <w:spacing w:after="0" w:line="128"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from Operations. </w:t>
      </w:r>
      <w:r>
        <w:rPr>
          <w:rFonts w:ascii="Times New Roman" w:cs="Times New Roman" w:eastAsia="Times New Roman" w:hAnsi="Times New Roman"/>
          <w:sz w:val="18"/>
          <w:szCs w:val="18"/>
          <w:color w:val="auto"/>
        </w:rPr>
        <w:t>Income from operations for the Housing and Infrastructure Products segment increased by $143 million to $476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six months ended June 30, 2024 from $333 million in the six months ended June 30, 2023. This increase in income from operations in the six months ended June 30, 2024, as compared to the six months ended June 30, 2023, was primarily due to higher sales volumes for pipe and fittings and siding and trim and lower raw material costs.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DISCUSSION FOR THE SIX MONTHS ENDED JUNE 30, 2024 AND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94" w:lineRule="exact"/>
        <w:rPr>
          <w:sz w:val="20"/>
          <w:szCs w:val="20"/>
          <w:color w:val="auto"/>
        </w:rPr>
      </w:pPr>
    </w:p>
    <w:p>
      <w:pPr>
        <w:ind w:right="20" w:firstLine="405"/>
        <w:spacing w:after="0" w:line="272" w:lineRule="auto"/>
        <w:rPr>
          <w:sz w:val="20"/>
          <w:szCs w:val="20"/>
          <w:color w:val="auto"/>
        </w:rPr>
      </w:pPr>
      <w:r>
        <w:rPr>
          <w:rFonts w:ascii="Times New Roman" w:cs="Times New Roman" w:eastAsia="Times New Roman" w:hAnsi="Times New Roman"/>
          <w:sz w:val="17"/>
          <w:szCs w:val="17"/>
          <w:color w:val="auto"/>
        </w:rPr>
        <w:t>Operating activities provided cash of $406 million in the first six months of 2024 compared to cash provided by operating activities of $1,067 million in the first six months of 2023. The $661 million decrease in cash flows from operating activities was mainly due to lower prices and demand for most of our products and an unfavorable change in working capital in the six months ended June 30, 2024. Changes in components of working capital, which we define for purposes of this cash flow discussion as accounts receivable, inventories, prepaid expenses and other current assets, less accounts payable and accrued and other liabilities, used cash of $453 million in the first six months of 2024, compared to $30 million of cash provided in the first six months of 2023, an unfavorable change of $483 million. The unfavorable change in the first six months of 2024 was substantially driven by the higher accounts receivables due to an increase in sales towards the end of the six months ended June 30, 2024, higher inventory volumes at the end of the six months ended June 30, 2024 for the Housing and Infrastructure segment and cash outflows related to the 2023 litigation accrual in the six months ended June 30, 2024.</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94"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Net cash used for investing activities in the first six months of 2024 of $495 million was relatively comparable to net cash used for investing activities of $499 million in the first six months of 2023. The investing activities in the first six months of 2024 and the first six months of 2023 were primarily related to capital expenditures in the period. Capital expenditures were $503 million in the first six months of 2024 as compared to $507 million in the first six months of 2023. Capital expenditures in the first six months of 2024 and 2023 were primarily related to projects to increase production capacity or reduce costs, maintenance and safety projects and environmental projects at our various facilities.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8" w:lineRule="exact"/>
        <w:rPr>
          <w:sz w:val="20"/>
          <w:szCs w:val="20"/>
          <w:color w:val="auto"/>
        </w:rPr>
      </w:pPr>
    </w:p>
    <w:p>
      <w:pPr>
        <w:ind w:right="220" w:firstLine="405"/>
        <w:spacing w:after="0" w:line="256" w:lineRule="auto"/>
        <w:rPr>
          <w:sz w:val="20"/>
          <w:szCs w:val="20"/>
          <w:color w:val="auto"/>
        </w:rPr>
      </w:pPr>
      <w:r>
        <w:rPr>
          <w:rFonts w:ascii="Times New Roman" w:cs="Times New Roman" w:eastAsia="Times New Roman" w:hAnsi="Times New Roman"/>
          <w:sz w:val="18"/>
          <w:szCs w:val="18"/>
          <w:color w:val="auto"/>
        </w:rPr>
        <w:t>Net cash used for financing activities during the first six months of 2024 of $146 million was higher as compared to the net cash used for financing activities of $131 million in the first six months of 2023. The activities during the first six months of 2024 were primarily related to the $130 million payment of cash dividends, the $21 million payment of cash distributions to noncontrolling interests and inflows of $8 million from the exercise of stock options. The financing activities in the first six months of 2023 were primarily related to the $92 million payment of cash dividends, the $24 million payment of cash distributions to noncontrolling interests, repurchases of our common stock for an aggregate amount of $23 million and inflows of $9 million from the exercise of stock options.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Financing Arrangements</w:t>
      </w:r>
    </w:p>
    <w:p>
      <w:pPr>
        <w:spacing w:after="0" w:line="108"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are from cash and cash equivalents, cash from operations, short-term borrowings under the credit agreement and our long-term financing.</w:t>
      </w:r>
    </w:p>
    <w:p>
      <w:pPr>
        <w:spacing w:after="0" w:line="108"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In November 2014, our Board of Directors authorized a $250 million stock repurchase program (the "2014 Program"). In November 2015, our Board of Directors approved the expansion of the 2014 Program by an additional $150 million. In August 2018, our Board of Directors approved the further expansion of the existing 2014 Program by an additional $150 million. In August 2022, our Board of Directors approved the further expansion of the existing 2014 Program by an additional $500 million. As of June 30, 2024, we had repurchased 8,722,550 shares of our common stock for an aggregate purchase price of approximately $574 million under the 2014 Program. We did not repurchase any common stock under the 2014 Program during the three months ended June 30, 2024. Purchases under the 2014 Program may be made either through the open market or in privately negotiated transactions. Decisions regarding the amount and the timing of purchases under the 2014 Program will be influenced by our cash on hand, our cash flows from operations, general market conditions and other factors. The 2014 Program may be discontinued by our Board of Directors at any time.</w:t>
      </w:r>
    </w:p>
    <w:p>
      <w:pPr>
        <w:spacing w:after="0" w:line="138"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On October 4, 2018, Westlake Chemical Partners LP ("Westlake Partners") and Westlake Chemical Partners GP LLC, the general partner of Westlake Partners, entered into an Equity Distribution Agreement with UBS Securities LLC, Barclays Capital Inc., Citigroup Global Markets Inc., Deutsche Bank Securities Inc., RBC Capital Markets, LLC, Merrill Lynch, Pierce, Fenner &amp; Smith Incorporated and Wells Fargo Securities, LLC to offer and sell Westlake Partners common units, from time to time, up to an aggregate offering amount of $50 million. This Equity Distribution Agreement was amended on February 28, 2020 to reference a new shelf registration and subsequent renewals thereof for utilization under this agreement. No common units have been issued under this program as of June 30, 2024.</w:t>
      </w:r>
    </w:p>
    <w:p>
      <w:pPr>
        <w:spacing w:after="0" w:line="133"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We believe that our sources of liquidity as described above are adequate to fund our normal operations and ongoing capital expenditures and turnaround activities. Funding of any potential large expansions such as our recent acquisitions or potential future acquisitions or the redemption of debt may likely necessitate, and therefore depend on, our ability to obtain additional financing in the future. We may not be able to access additional liquidity at favorable interest rates due to volatility of the commercial credit markets.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June 30, 2024, our cash and cash equivalents totaled $3,042 million.</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addition to our cash and cash equivalents, our credit agreement is available to provide liquidity as needed, as described under "Debt" below.</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94"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As of June 30, 2024, the carrying value of our indebtedness totaled $4,885 million. See Note 7 to the consolidated financial statements appearing elsewhere in this Form 10-Q for a discussion of our long-term indebtedness.</w:t>
      </w:r>
    </w:p>
    <w:p>
      <w:pPr>
        <w:spacing w:after="0" w:line="108"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Our ability to make payments on our indebtedness and to fund planned capital expenditures will depend on our ability to generate cash in the future, which is subject to general economic, financial, competitive, legislative, regulatory and other factors that are beyond our control. Based on our current level of operations and unless we were to undertake a new expansion or large acquisition, we believe our cash flows from operations, available cash and available borrowings under our credit agreement will be adequate to meet our normal operating needs for the foreseeable future.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long-term debt consisted of the following as of June 30, 2024: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Optional</w:t>
            </w:r>
          </w:p>
        </w:tc>
        <w:tc>
          <w:tcPr>
            <w:tcW w:w="0" w:type="dxa"/>
            <w:vAlign w:val="bottom"/>
          </w:tcPr>
          <w:p>
            <w:pPr>
              <w:spacing w:after="0"/>
              <w:rPr>
                <w:sz w:val="1"/>
                <w:szCs w:val="1"/>
                <w:color w:val="auto"/>
              </w:rPr>
            </w:pPr>
          </w:p>
        </w:tc>
      </w:tr>
      <w:tr>
        <w:trPr>
          <w:trHeight w:val="146"/>
        </w:trPr>
        <w:tc>
          <w:tcPr>
            <w:tcW w:w="3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ind w:right="93"/>
              <w:spacing w:after="0" w:line="146"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Redemption</w:t>
            </w:r>
          </w:p>
        </w:tc>
        <w:tc>
          <w:tcPr>
            <w:tcW w:w="0" w:type="dxa"/>
            <w:vAlign w:val="bottom"/>
          </w:tcPr>
          <w:p>
            <w:pPr>
              <w:spacing w:after="0"/>
              <w:rPr>
                <w:sz w:val="1"/>
                <w:szCs w:val="1"/>
                <w:color w:val="auto"/>
              </w:rPr>
            </w:pPr>
          </w:p>
        </w:tc>
      </w:tr>
      <w:tr>
        <w:trPr>
          <w:trHeight w:val="137"/>
        </w:trPr>
        <w:tc>
          <w:tcPr>
            <w:tcW w:w="3640" w:type="dxa"/>
            <w:vAlign w:val="bottom"/>
          </w:tcPr>
          <w:p>
            <w:pPr>
              <w:spacing w:after="0"/>
              <w:rPr>
                <w:sz w:val="11"/>
                <w:szCs w:val="11"/>
                <w:color w:val="auto"/>
              </w:rPr>
            </w:pPr>
          </w:p>
        </w:tc>
        <w:tc>
          <w:tcPr>
            <w:tcW w:w="104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(in millions of</w:t>
            </w:r>
          </w:p>
        </w:tc>
        <w:tc>
          <w:tcPr>
            <w:tcW w:w="100" w:type="dxa"/>
            <w:vAlign w:val="bottom"/>
          </w:tcPr>
          <w:p>
            <w:pPr>
              <w:spacing w:after="0"/>
              <w:rPr>
                <w:sz w:val="11"/>
                <w:szCs w:val="11"/>
                <w:color w:val="auto"/>
              </w:rPr>
            </w:pPr>
          </w:p>
        </w:tc>
        <w:tc>
          <w:tcPr>
            <w:tcW w:w="17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Debt Issuance Date</w:t>
            </w:r>
          </w:p>
        </w:tc>
        <w:tc>
          <w:tcPr>
            <w:tcW w:w="17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9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Par Call Date</w:t>
            </w:r>
          </w:p>
        </w:tc>
        <w:tc>
          <w:tcPr>
            <w:tcW w:w="10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Terms and</w:t>
            </w:r>
          </w:p>
        </w:tc>
        <w:tc>
          <w:tcPr>
            <w:tcW w:w="0" w:type="dxa"/>
            <w:vAlign w:val="bottom"/>
          </w:tcPr>
          <w:p>
            <w:pPr>
              <w:spacing w:after="0"/>
              <w:rPr>
                <w:sz w:val="1"/>
                <w:szCs w:val="1"/>
                <w:color w:val="auto"/>
              </w:rPr>
            </w:pPr>
          </w:p>
        </w:tc>
      </w:tr>
      <w:tr>
        <w:trPr>
          <w:trHeight w:val="190"/>
        </w:trPr>
        <w:tc>
          <w:tcPr>
            <w:tcW w:w="3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00" w:type="dxa"/>
            <w:vAlign w:val="bottom"/>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1900" w:type="dxa"/>
            <w:vAlign w:val="bottom"/>
            <w:gridSpan w:val="2"/>
            <w:vMerge w:val="continue"/>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 Matters</w:t>
            </w:r>
          </w:p>
        </w:tc>
        <w:tc>
          <w:tcPr>
            <w:tcW w:w="0" w:type="dxa"/>
            <w:vAlign w:val="bottom"/>
          </w:tcPr>
          <w:p>
            <w:pPr>
              <w:spacing w:after="0"/>
              <w:rPr>
                <w:sz w:val="1"/>
                <w:szCs w:val="1"/>
                <w:color w:val="auto"/>
              </w:rPr>
            </w:pPr>
          </w:p>
        </w:tc>
      </w:tr>
      <w:tr>
        <w:trPr>
          <w:trHeight w:val="23"/>
        </w:trPr>
        <w:tc>
          <w:tcPr>
            <w:tcW w:w="3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36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0.875% senior notes due 2024 (the "0.875%</w:t>
            </w: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 Senior Notes")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August 2021</w:t>
            </w:r>
          </w:p>
        </w:tc>
        <w:tc>
          <w:tcPr>
            <w:tcW w:w="17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August 2024</w:t>
            </w:r>
          </w:p>
        </w:tc>
        <w:tc>
          <w:tcPr>
            <w:tcW w:w="19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August 15, 2022</w:t>
            </w:r>
          </w:p>
        </w:tc>
        <w:tc>
          <w:tcPr>
            <w:tcW w:w="106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76"/>
        </w:trPr>
        <w:tc>
          <w:tcPr>
            <w:tcW w:w="3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3.60% senior notes due 2026 (the "3.60% 2026</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Notes")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21"/>
                <w:szCs w:val="21"/>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August 2016</w:t>
            </w: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August 2026</w:t>
            </w:r>
          </w:p>
        </w:tc>
        <w:tc>
          <w:tcPr>
            <w:tcW w:w="1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May 15, 2026</w:t>
            </w:r>
          </w:p>
        </w:tc>
        <w:tc>
          <w:tcPr>
            <w:tcW w:w="1060" w:type="dxa"/>
            <w:vAlign w:val="bottom"/>
          </w:tcPr>
          <w:p>
            <w:pPr>
              <w:jc w:val="center"/>
              <w:ind w:right="75"/>
              <w:spacing w:after="0"/>
              <w:rPr>
                <w:sz w:val="20"/>
                <w:szCs w:val="20"/>
                <w:color w:val="auto"/>
              </w:rPr>
            </w:pPr>
            <w:r>
              <w:rPr>
                <w:rFonts w:ascii="Times New Roman" w:cs="Times New Roman" w:eastAsia="Times New Roman" w:hAnsi="Times New Roman"/>
                <w:sz w:val="18"/>
                <w:szCs w:val="18"/>
                <w:color w:val="auto"/>
                <w:w w:val="98"/>
              </w:rPr>
              <w:t>(1) (4)</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Loan related to tax-exempt waste disposal</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bonds due 2027</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December 1997</w:t>
            </w:r>
          </w:p>
        </w:tc>
        <w:tc>
          <w:tcPr>
            <w:tcW w:w="17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December 2027</w:t>
            </w:r>
          </w:p>
        </w:tc>
        <w:tc>
          <w:tcPr>
            <w:tcW w:w="1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75"/>
        </w:trPr>
        <w:tc>
          <w:tcPr>
            <w:tcW w:w="3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1.625% €700 million senior notes due 2029 (the</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"1.625% 2029 Senior Notes")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21"/>
                <w:szCs w:val="21"/>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July 2019</w:t>
            </w: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July 2029</w:t>
            </w: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April 17, 2029</w:t>
            </w:r>
          </w:p>
        </w:tc>
        <w:tc>
          <w:tcPr>
            <w:tcW w:w="1060" w:type="dxa"/>
            <w:vAlign w:val="bottom"/>
          </w:tcPr>
          <w:p>
            <w:pPr>
              <w:jc w:val="center"/>
              <w:ind w:right="75"/>
              <w:spacing w:after="0"/>
              <w:rPr>
                <w:sz w:val="20"/>
                <w:szCs w:val="20"/>
                <w:color w:val="auto"/>
              </w:rPr>
            </w:pPr>
            <w:r>
              <w:rPr>
                <w:rFonts w:ascii="Times New Roman" w:cs="Times New Roman" w:eastAsia="Times New Roman" w:hAnsi="Times New Roman"/>
                <w:sz w:val="18"/>
                <w:szCs w:val="18"/>
                <w:color w:val="auto"/>
                <w:w w:val="98"/>
              </w:rPr>
              <w:t>(1) (2)</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3.375% senior notes due 2030 (the "3.375%</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2030 Senior Notes")</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June 2020</w:t>
            </w:r>
          </w:p>
        </w:tc>
        <w:tc>
          <w:tcPr>
            <w:tcW w:w="17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7"/>
              </w:rPr>
              <w:t>June 2030</w:t>
            </w:r>
          </w:p>
        </w:tc>
        <w:tc>
          <w:tcPr>
            <w:tcW w:w="19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March 15, 2030</w:t>
            </w:r>
          </w:p>
        </w:tc>
        <w:tc>
          <w:tcPr>
            <w:tcW w:w="1060" w:type="dxa"/>
            <w:vAlign w:val="bottom"/>
            <w:shd w:val="clear" w:color="auto" w:fill="CCEEFF"/>
          </w:tcPr>
          <w:p>
            <w:pPr>
              <w:jc w:val="center"/>
              <w:ind w:right="75"/>
              <w:spacing w:after="0"/>
              <w:rPr>
                <w:sz w:val="20"/>
                <w:szCs w:val="20"/>
                <w:color w:val="auto"/>
              </w:rPr>
            </w:pPr>
            <w:r>
              <w:rPr>
                <w:rFonts w:ascii="Times New Roman" w:cs="Times New Roman" w:eastAsia="Times New Roman" w:hAnsi="Times New Roman"/>
                <w:sz w:val="18"/>
                <w:szCs w:val="18"/>
                <w:color w:val="auto"/>
                <w:w w:val="98"/>
              </w:rPr>
              <w:t>(1) (3)</w:t>
            </w:r>
          </w:p>
        </w:tc>
        <w:tc>
          <w:tcPr>
            <w:tcW w:w="0" w:type="dxa"/>
            <w:vAlign w:val="bottom"/>
          </w:tcPr>
          <w:p>
            <w:pPr>
              <w:spacing w:after="0"/>
              <w:rPr>
                <w:sz w:val="1"/>
                <w:szCs w:val="1"/>
                <w:color w:val="auto"/>
              </w:rPr>
            </w:pPr>
          </w:p>
        </w:tc>
      </w:tr>
      <w:tr>
        <w:trPr>
          <w:trHeight w:val="176"/>
        </w:trPr>
        <w:tc>
          <w:tcPr>
            <w:tcW w:w="3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3.50% senior notes due 2032 (the "3.50% 2032</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4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tax-exempt GO Zone Refunding Senior</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0"/>
                <w:szCs w:val="20"/>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November 2017</w:t>
            </w: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November 2032</w:t>
            </w:r>
          </w:p>
        </w:tc>
        <w:tc>
          <w:tcPr>
            <w:tcW w:w="1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November 1, 2027</w:t>
            </w:r>
          </w:p>
        </w:tc>
        <w:tc>
          <w:tcPr>
            <w:tcW w:w="106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2.875% senior notes due 2041 (the "2.875%</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2041 Senior Notes")</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August 2021</w:t>
            </w:r>
          </w:p>
        </w:tc>
        <w:tc>
          <w:tcPr>
            <w:tcW w:w="17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August 2041</w:t>
            </w:r>
          </w:p>
        </w:tc>
        <w:tc>
          <w:tcPr>
            <w:tcW w:w="19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February 15, 2041</w:t>
            </w:r>
          </w:p>
        </w:tc>
        <w:tc>
          <w:tcPr>
            <w:tcW w:w="1060" w:type="dxa"/>
            <w:vAlign w:val="bottom"/>
            <w:shd w:val="clear" w:color="auto" w:fill="CCEEFF"/>
          </w:tcPr>
          <w:p>
            <w:pPr>
              <w:jc w:val="center"/>
              <w:ind w:right="75"/>
              <w:spacing w:after="0"/>
              <w:rPr>
                <w:sz w:val="20"/>
                <w:szCs w:val="20"/>
                <w:color w:val="auto"/>
              </w:rPr>
            </w:pPr>
            <w:r>
              <w:rPr>
                <w:rFonts w:ascii="Times New Roman" w:cs="Times New Roman" w:eastAsia="Times New Roman" w:hAnsi="Times New Roman"/>
                <w:sz w:val="18"/>
                <w:szCs w:val="18"/>
                <w:color w:val="auto"/>
                <w:w w:val="98"/>
              </w:rPr>
              <w:t>(1) (3)</w:t>
            </w:r>
          </w:p>
        </w:tc>
        <w:tc>
          <w:tcPr>
            <w:tcW w:w="0" w:type="dxa"/>
            <w:vAlign w:val="bottom"/>
          </w:tcPr>
          <w:p>
            <w:pPr>
              <w:spacing w:after="0"/>
              <w:rPr>
                <w:sz w:val="1"/>
                <w:szCs w:val="1"/>
                <w:color w:val="auto"/>
              </w:rPr>
            </w:pPr>
          </w:p>
        </w:tc>
      </w:tr>
      <w:tr>
        <w:trPr>
          <w:trHeight w:val="176"/>
        </w:trPr>
        <w:tc>
          <w:tcPr>
            <w:tcW w:w="3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5.00% senior notes due 2046 (the "5.00% 2046</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Notes")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21"/>
                <w:szCs w:val="21"/>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August 2016</w:t>
            </w: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August 2046</w:t>
            </w:r>
          </w:p>
        </w:tc>
        <w:tc>
          <w:tcPr>
            <w:tcW w:w="1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February 15, 2046</w:t>
            </w:r>
          </w:p>
        </w:tc>
        <w:tc>
          <w:tcPr>
            <w:tcW w:w="1060" w:type="dxa"/>
            <w:vAlign w:val="bottom"/>
          </w:tcPr>
          <w:p>
            <w:pPr>
              <w:jc w:val="center"/>
              <w:ind w:right="75"/>
              <w:spacing w:after="0"/>
              <w:rPr>
                <w:sz w:val="20"/>
                <w:szCs w:val="20"/>
                <w:color w:val="auto"/>
              </w:rPr>
            </w:pPr>
            <w:r>
              <w:rPr>
                <w:rFonts w:ascii="Times New Roman" w:cs="Times New Roman" w:eastAsia="Times New Roman" w:hAnsi="Times New Roman"/>
                <w:sz w:val="18"/>
                <w:szCs w:val="18"/>
                <w:color w:val="auto"/>
                <w:w w:val="98"/>
              </w:rPr>
              <w:t>(1) (4)</w:t>
            </w:r>
          </w:p>
        </w:tc>
        <w:tc>
          <w:tcPr>
            <w:tcW w:w="0" w:type="dxa"/>
            <w:vAlign w:val="bottom"/>
          </w:tcPr>
          <w:p>
            <w:pPr>
              <w:spacing w:after="0"/>
              <w:rPr>
                <w:sz w:val="1"/>
                <w:szCs w:val="1"/>
                <w:color w:val="auto"/>
              </w:rPr>
            </w:pPr>
          </w:p>
        </w:tc>
      </w:tr>
      <w:tr>
        <w:trPr>
          <w:trHeight w:val="176"/>
        </w:trPr>
        <w:tc>
          <w:tcPr>
            <w:tcW w:w="36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4.375% senior notes due 2047 (the "4.375%</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2047 Senior Notes")</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November 2017</w:t>
            </w:r>
          </w:p>
        </w:tc>
        <w:tc>
          <w:tcPr>
            <w:tcW w:w="17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November 2047</w:t>
            </w:r>
          </w:p>
        </w:tc>
        <w:tc>
          <w:tcPr>
            <w:tcW w:w="19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May 15, 2047</w:t>
            </w:r>
          </w:p>
        </w:tc>
        <w:tc>
          <w:tcPr>
            <w:tcW w:w="1060" w:type="dxa"/>
            <w:vAlign w:val="bottom"/>
            <w:shd w:val="clear" w:color="auto" w:fill="CCEEFF"/>
          </w:tcPr>
          <w:p>
            <w:pPr>
              <w:jc w:val="center"/>
              <w:ind w:right="75"/>
              <w:spacing w:after="0"/>
              <w:rPr>
                <w:sz w:val="20"/>
                <w:szCs w:val="20"/>
                <w:color w:val="auto"/>
              </w:rPr>
            </w:pPr>
            <w:r>
              <w:rPr>
                <w:rFonts w:ascii="Times New Roman" w:cs="Times New Roman" w:eastAsia="Times New Roman" w:hAnsi="Times New Roman"/>
                <w:sz w:val="18"/>
                <w:szCs w:val="18"/>
                <w:color w:val="auto"/>
                <w:w w:val="98"/>
              </w:rPr>
              <w:t>(1) (3)</w:t>
            </w:r>
          </w:p>
        </w:tc>
        <w:tc>
          <w:tcPr>
            <w:tcW w:w="0" w:type="dxa"/>
            <w:vAlign w:val="bottom"/>
          </w:tcPr>
          <w:p>
            <w:pPr>
              <w:spacing w:after="0"/>
              <w:rPr>
                <w:sz w:val="1"/>
                <w:szCs w:val="1"/>
                <w:color w:val="auto"/>
              </w:rPr>
            </w:pPr>
          </w:p>
        </w:tc>
      </w:tr>
      <w:tr>
        <w:trPr>
          <w:trHeight w:val="176"/>
        </w:trPr>
        <w:tc>
          <w:tcPr>
            <w:tcW w:w="3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3.125% senior notes due 2051 (the "3.125%</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2051 Senior Notes")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21"/>
                <w:szCs w:val="21"/>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August 2021</w:t>
            </w: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August 2051</w:t>
            </w:r>
          </w:p>
        </w:tc>
        <w:tc>
          <w:tcPr>
            <w:tcW w:w="1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February 15, 2051</w:t>
            </w:r>
          </w:p>
        </w:tc>
        <w:tc>
          <w:tcPr>
            <w:tcW w:w="1060" w:type="dxa"/>
            <w:vAlign w:val="bottom"/>
          </w:tcPr>
          <w:p>
            <w:pPr>
              <w:jc w:val="center"/>
              <w:ind w:right="75"/>
              <w:spacing w:after="0"/>
              <w:rPr>
                <w:sz w:val="20"/>
                <w:szCs w:val="20"/>
                <w:color w:val="auto"/>
              </w:rPr>
            </w:pPr>
            <w:r>
              <w:rPr>
                <w:rFonts w:ascii="Times New Roman" w:cs="Times New Roman" w:eastAsia="Times New Roman" w:hAnsi="Times New Roman"/>
                <w:sz w:val="18"/>
                <w:szCs w:val="18"/>
                <w:color w:val="auto"/>
                <w:w w:val="98"/>
              </w:rPr>
              <w:t>(1) (3)</w:t>
            </w:r>
          </w:p>
        </w:tc>
        <w:tc>
          <w:tcPr>
            <w:tcW w:w="0" w:type="dxa"/>
            <w:vAlign w:val="bottom"/>
          </w:tcPr>
          <w:p>
            <w:pPr>
              <w:spacing w:after="0"/>
              <w:rPr>
                <w:sz w:val="1"/>
                <w:szCs w:val="1"/>
                <w:color w:val="auto"/>
              </w:rPr>
            </w:pPr>
          </w:p>
        </w:tc>
      </w:tr>
      <w:tr>
        <w:trPr>
          <w:trHeight w:val="176"/>
        </w:trPr>
        <w:tc>
          <w:tcPr>
            <w:tcW w:w="36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3.375% senior notes due 2061 (the "3.375%</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2061 Senior Notes")</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August 2021</w:t>
            </w:r>
          </w:p>
        </w:tc>
        <w:tc>
          <w:tcPr>
            <w:tcW w:w="17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August 2061</w:t>
            </w:r>
          </w:p>
        </w:tc>
        <w:tc>
          <w:tcPr>
            <w:tcW w:w="19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February 15, 2061</w:t>
            </w:r>
          </w:p>
        </w:tc>
        <w:tc>
          <w:tcPr>
            <w:tcW w:w="1060" w:type="dxa"/>
            <w:vAlign w:val="bottom"/>
            <w:shd w:val="clear" w:color="auto" w:fill="CCEEFF"/>
          </w:tcPr>
          <w:p>
            <w:pPr>
              <w:jc w:val="center"/>
              <w:ind w:right="75"/>
              <w:spacing w:after="0"/>
              <w:rPr>
                <w:sz w:val="20"/>
                <w:szCs w:val="20"/>
                <w:color w:val="auto"/>
              </w:rPr>
            </w:pPr>
            <w:r>
              <w:rPr>
                <w:rFonts w:ascii="Times New Roman" w:cs="Times New Roman" w:eastAsia="Times New Roman" w:hAnsi="Times New Roman"/>
                <w:sz w:val="18"/>
                <w:szCs w:val="18"/>
                <w:color w:val="auto"/>
                <w:w w:val="98"/>
              </w:rPr>
              <w:t>(1) (3)</w:t>
            </w:r>
          </w:p>
        </w:tc>
        <w:tc>
          <w:tcPr>
            <w:tcW w:w="0" w:type="dxa"/>
            <w:vAlign w:val="bottom"/>
          </w:tcPr>
          <w:p>
            <w:pPr>
              <w:spacing w:after="0"/>
              <w:rPr>
                <w:sz w:val="1"/>
                <w:szCs w:val="1"/>
                <w:color w:val="auto"/>
              </w:rPr>
            </w:pPr>
          </w:p>
        </w:tc>
      </w:tr>
      <w:tr>
        <w:trPr>
          <w:trHeight w:val="324"/>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Term loan 2026 (the "2026 Term Loan")</w:t>
            </w: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24"/>
                <w:szCs w:val="24"/>
                <w:color w:val="auto"/>
              </w:rPr>
            </w:pPr>
          </w:p>
        </w:tc>
        <w:tc>
          <w:tcPr>
            <w:tcW w:w="1760" w:type="dxa"/>
            <w:vAlign w:val="bottom"/>
            <w:tcBorders>
              <w:bottom w:val="single" w:sz="8" w:color="CCEEFF"/>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March 2021</w:t>
            </w:r>
          </w:p>
        </w:tc>
        <w:tc>
          <w:tcPr>
            <w:tcW w:w="1740" w:type="dxa"/>
            <w:vAlign w:val="bottom"/>
            <w:tcBorders>
              <w:bottom w:val="single" w:sz="8" w:color="CCEEFF"/>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March 2026</w:t>
            </w:r>
          </w:p>
        </w:tc>
        <w:tc>
          <w:tcPr>
            <w:tcW w:w="18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jc w:val="center"/>
              <w:ind w:right="75"/>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8"/>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90" w:lineRule="exact"/>
        <w:rPr>
          <w:sz w:val="20"/>
          <w:szCs w:val="20"/>
          <w:color w:val="auto"/>
        </w:rPr>
      </w:pPr>
    </w:p>
    <w:p>
      <w:pPr>
        <w:ind w:left="460" w:right="20" w:hanging="412"/>
        <w:spacing w:after="0" w:line="281" w:lineRule="auto"/>
        <w:tabs>
          <w:tab w:leader="none" w:pos="4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our option, we may redeem the notes at any time on or after the specified par call date at a redemption price equal to 100% of the principal amount of the notes being redeemed plus accrued and unpaid interest.</w:t>
      </w:r>
    </w:p>
    <w:p>
      <w:pPr>
        <w:spacing w:after="0" w:line="1" w:lineRule="exact"/>
        <w:rPr>
          <w:rFonts w:ascii="Times New Roman" w:cs="Times New Roman" w:eastAsia="Times New Roman" w:hAnsi="Times New Roman"/>
          <w:sz w:val="18"/>
          <w:szCs w:val="18"/>
          <w:color w:val="auto"/>
        </w:rPr>
      </w:pPr>
    </w:p>
    <w:p>
      <w:pPr>
        <w:ind w:left="460" w:right="280" w:hanging="412"/>
        <w:spacing w:after="0" w:line="258" w:lineRule="auto"/>
        <w:tabs>
          <w:tab w:leader="none" w:pos="4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our option, we may redeem the notes at any time prior to the specified par call date at a redemption price equal to the greater of (i) 100% of the principal amount of the notes being redeemed plus accrued and unpaid interest and (ii) the sum of the present values of the remaining scheduled payments on the notes being redeemed that would be due if the notes matured on the specified par call date (not including any portion of such payments of interest accrued as of the redemption date), discounted to the redemption date on an annual basis at the applicable comparable government bond rate plus 30 basis points plus accrued and unpaid interest.</w:t>
      </w:r>
    </w:p>
    <w:p>
      <w:pPr>
        <w:spacing w:after="0" w:line="21" w:lineRule="exact"/>
        <w:rPr>
          <w:rFonts w:ascii="Times New Roman" w:cs="Times New Roman" w:eastAsia="Times New Roman" w:hAnsi="Times New Roman"/>
          <w:sz w:val="18"/>
          <w:szCs w:val="18"/>
          <w:color w:val="auto"/>
        </w:rPr>
      </w:pPr>
    </w:p>
    <w:p>
      <w:pPr>
        <w:ind w:left="460" w:right="60" w:hanging="412"/>
        <w:spacing w:after="0" w:line="258" w:lineRule="auto"/>
        <w:tabs>
          <w:tab w:leader="none" w:pos="4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our option, we may redeem the notes at any time prior to the specified par call date at a redemption price equal to the greater of (i) 100% of the principal amount of the notes being redeemed plus accrued and unpaid interest and (ii) the sum of the present values of the remaining scheduled payments on the notes being redeemed that would be due if the notes matured on the specified par call date (excluding accrued and unpaid interest to the redemption date), discounted to the redemption date on a semi-annual basis at the treasury rate plus 20 to 40 basis points plus accrued and unpaid interest.</w:t>
      </w:r>
    </w:p>
    <w:p>
      <w:pPr>
        <w:spacing w:after="0" w:line="21" w:lineRule="exact"/>
        <w:rPr>
          <w:rFonts w:ascii="Times New Roman" w:cs="Times New Roman" w:eastAsia="Times New Roman" w:hAnsi="Times New Roman"/>
          <w:sz w:val="18"/>
          <w:szCs w:val="18"/>
          <w:color w:val="auto"/>
        </w:rPr>
      </w:pPr>
    </w:p>
    <w:p>
      <w:pPr>
        <w:ind w:left="460" w:right="120" w:hanging="412"/>
        <w:spacing w:after="0" w:line="261" w:lineRule="auto"/>
        <w:tabs>
          <w:tab w:leader="none" w:pos="4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our option, we may redeem the notes at any time prior to the specified par call date at a redemption price equal to the greater of (i) 100% of the principal amount of the notes being redeemed plus accrued and unpaid interest and (ii) the sum of the present values of the remaining scheduled payments on the notes being redeemed (excluding accrued and unpaid interest to the redemption date), discounted to the redemption date on a semi-annual basis at the treasury rate plus 35 to 45 basis points, plus accrued and unpaid interest.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60" w:right="20" w:hanging="412"/>
        <w:spacing w:after="0" w:line="258" w:lineRule="auto"/>
        <w:tabs>
          <w:tab w:leader="none" w:pos="44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redemption of certain bonds (the "GO Zone Bonds") issued by the Louisiana Local Government Environmental Facility and Development Authority (the "Authority") in 2017, we will redeem notes equal in principal amount to the GO Zone Bonds to be redeemed at a redemption price equal to the redemption price of the GO Zone Bonds to be redeemed, plus accrued interest to the redemption date. The GO Zone Bonds are subject to optional redemption by the Authority upon the direction of the Company at any time on or after November 1, 2027, for 100% of the principal amount plus accrued interest to the redemption date.</w:t>
      </w:r>
    </w:p>
    <w:p>
      <w:pPr>
        <w:spacing w:after="0" w:line="21" w:lineRule="exact"/>
        <w:rPr>
          <w:rFonts w:ascii="Times New Roman" w:cs="Times New Roman" w:eastAsia="Times New Roman" w:hAnsi="Times New Roman"/>
          <w:sz w:val="18"/>
          <w:szCs w:val="18"/>
          <w:color w:val="auto"/>
        </w:rPr>
      </w:pPr>
    </w:p>
    <w:p>
      <w:pPr>
        <w:ind w:left="460" w:right="40" w:hanging="412"/>
        <w:spacing w:after="0" w:line="266" w:lineRule="auto"/>
        <w:tabs>
          <w:tab w:leader="none" w:pos="44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waste disposal revenue bonds expire in December 2027 and are subject to redemption and mandatory tender for purchase prior to maturity under certain conditions. Interest on the waste disposal revenue bonds accrues at a rate determined by a remarketing agent and is payable quarterly. The interest rate on the waste disposal revenue bonds at June 30, 2024 was 4.15%.</w:t>
      </w:r>
    </w:p>
    <w:p>
      <w:pPr>
        <w:spacing w:after="0" w:line="13" w:lineRule="exact"/>
        <w:rPr>
          <w:rFonts w:ascii="Times New Roman" w:cs="Times New Roman" w:eastAsia="Times New Roman" w:hAnsi="Times New Roman"/>
          <w:sz w:val="18"/>
          <w:szCs w:val="18"/>
          <w:color w:val="auto"/>
        </w:rPr>
      </w:pPr>
    </w:p>
    <w:p>
      <w:pPr>
        <w:ind w:left="460" w:right="60" w:hanging="412"/>
        <w:spacing w:after="0" w:line="282" w:lineRule="auto"/>
        <w:tabs>
          <w:tab w:leader="none" w:pos="44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2026 Term Loan has a 5-year maturity and includes a government rate subsidy. The interest rate on the 2026 Term Loan as of June 30, 2024 was 1.08%.</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holders of the 0.875% 2024 Senior Notes, the 3.60% 2026 Senior Notes, the 1.625% 2029 Senior Notes, the 3.375% 2030 Senior Notes,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3.50% 2032 tax-exempt GO Zone Refunding Senior Notes, the 2.875% 2041 Senior Notes, the 5.00% 2046 Senior Notes, the 4.375% 2047 Senior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3.125% 2051 Senior Notes and the 3.375% 2061 Senior Notes may require us to repurchase the notes at a price equal to 101% of their 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plus accrued and unpaid interest to, but not including, the date of repurchase, upon the occurrence of both a "change of control" and, within 60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days of such change of control, a "below investment grade rating event" (as such terms are defined in the respective indentures governing these notes).</w:t>
      </w:r>
    </w:p>
    <w:p>
      <w:pPr>
        <w:spacing w:after="0" w:line="153" w:lineRule="exact"/>
        <w:rPr>
          <w:sz w:val="20"/>
          <w:szCs w:val="20"/>
          <w:color w:val="auto"/>
        </w:rPr>
      </w:pPr>
    </w:p>
    <w:p>
      <w:pPr>
        <w:jc w:val="both"/>
        <w:ind w:right="300" w:firstLine="405"/>
        <w:spacing w:after="0" w:line="258" w:lineRule="auto"/>
        <w:rPr>
          <w:sz w:val="20"/>
          <w:szCs w:val="20"/>
          <w:color w:val="auto"/>
        </w:rPr>
      </w:pPr>
      <w:r>
        <w:rPr>
          <w:rFonts w:ascii="Times New Roman" w:cs="Times New Roman" w:eastAsia="Times New Roman" w:hAnsi="Times New Roman"/>
          <w:sz w:val="18"/>
          <w:szCs w:val="18"/>
          <w:color w:val="auto"/>
        </w:rPr>
        <w:t>The indenture governing the 0.875% 2024 Senior Notes, the 3.60% 2026 Senior Notes, the 1.625% 2029 Senior Notes, the 3.375% 2030 Senior Notes, the 3.50% 2032 tax-exempt GO Zone Refunding Senior Notes, the 2.875% 2041 Senior Notes, the 5.00% 2046 Senior Notes, the 4.375% 2047 Senior Notes, the 3.125% 2051 Senior Notes, and the 3.375% 2061 Senior Notes contains customary events of default and covenants that, among other things and subject to certain exceptions, restrict us and certain of our subsidiaries' ability to (1) incur certain secured indebtedness, (2) engage in certain sale and leaseback transactions and (3) consolidate, merge or transfer all or substantially all of our assets.</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June 30, 2024, we were in compliance with all of our long-term debt covenants.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92" w:lineRule="exact"/>
        <w:rPr>
          <w:sz w:val="20"/>
          <w:szCs w:val="20"/>
          <w:color w:val="auto"/>
        </w:rPr>
      </w:pPr>
    </w:p>
    <w:p>
      <w:pPr>
        <w:ind w:right="180" w:firstLine="405"/>
        <w:spacing w:after="0" w:line="256" w:lineRule="auto"/>
        <w:rPr>
          <w:sz w:val="20"/>
          <w:szCs w:val="20"/>
          <w:color w:val="auto"/>
        </w:rPr>
      </w:pPr>
      <w:r>
        <w:rPr>
          <w:rFonts w:ascii="Times New Roman" w:cs="Times New Roman" w:eastAsia="Times New Roman" w:hAnsi="Times New Roman"/>
          <w:sz w:val="18"/>
          <w:szCs w:val="18"/>
          <w:color w:val="auto"/>
        </w:rPr>
        <w:t>On June 9, 2022, we entered into a new $1.5 billion revolving credit facility that is scheduled to mature on June 9, 2027 (the "Credit Agreement") and, in connection therewith, terminated our then existing revolving credit agreement. The Credit Agreement bears interest at either (a) Adjusted Term SOFR (as defined in the Credit Agreement) plus a margin ranging from 1.00% to 1.625% per annum or (b) Alternate Base Rate (as defined in the Credit Agreement) plus a margin ranging from 0.00% to 0.625% per annum, in each case depending on the credit rating of the Company. The Credit Agreement contains certain affirmative and negative covenants, including a quarterly total leverage ratio financial maintenance covenant. As of June 30, 2024, we were in compliance with the total leverage ratio financial maintenance covenant.</w:t>
      </w:r>
    </w:p>
    <w:p>
      <w:pPr>
        <w:spacing w:after="0" w:line="133"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Credit Agreement also contains certain events of default and, if and for so long as certain events of default have occurred and are continuing, any overdue amounts outstanding under the Credit Agreement will accrue interest at an increased rate, the lenders can terminate their commitments to lend thereunder and payments of any outstanding amounts thereunder could be accelerated by the lenders. None of our subsidiaries are required to guarantee our obligations under the Credit Agreement.</w:t>
      </w:r>
    </w:p>
    <w:p>
      <w:pPr>
        <w:spacing w:after="0" w:line="126"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The Credit Agreement includes a $150 million sub-limit for letters of credit, and any outstanding letters of credit will be deducted from availability under the facility. The Credit Agreement also provides for a discretionary $50 million commitment for swingline loans to be provided on a same-day basis. We may also increase the size of the facility, in increments of at least $25 million, up to a maximum of $500 million, subject to certain conditions and if certain lenders agree to commit to such an increase.</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Westlake Chemical Partners LP Credit Arrangements</w:t>
      </w:r>
    </w:p>
    <w:p>
      <w:pPr>
        <w:spacing w:after="0" w:line="94" w:lineRule="exact"/>
        <w:rPr>
          <w:sz w:val="20"/>
          <w:szCs w:val="20"/>
          <w:color w:val="auto"/>
        </w:rPr>
      </w:pPr>
    </w:p>
    <w:p>
      <w:pPr>
        <w:ind w:right="40" w:firstLine="405"/>
        <w:spacing w:after="0" w:line="272" w:lineRule="auto"/>
        <w:rPr>
          <w:sz w:val="20"/>
          <w:szCs w:val="20"/>
          <w:color w:val="auto"/>
        </w:rPr>
      </w:pPr>
      <w:r>
        <w:rPr>
          <w:rFonts w:ascii="Times New Roman" w:cs="Times New Roman" w:eastAsia="Times New Roman" w:hAnsi="Times New Roman"/>
          <w:sz w:val="17"/>
          <w:szCs w:val="17"/>
          <w:color w:val="auto"/>
        </w:rPr>
        <w:t>Our subsidiary, Westlake Chemical Finance Corporation, is the lender party to a $600 million revolving credit facility with Westlake Chemical Partners LP ("Westlake Partners") (the "MLP Revolver") that is scheduled to mature on July 12, 2027. As of June 30, 2024, outstanding borrowings under the credit facility totaled $377 million and bore interest at Secured Overnight Financing Rate, as administered by the Federal Reserve Bank of New York ("SOFR") plus the Applicable Margin plus a 0.10% credit spread adjustment. On July 12, 2022, Westlake Partners entered into the Fourth Amendment (the "MLP Revolver Amendment") to the MLP Revolver. The MLP Revolver Amendment, among other things, extended the maturity date to July 12, 2027 and provided for the replacement of LIBOR with SOFR. Borrowings under the MLP Revolver now bear interest at a variable rate of either (a) SOFR plus the Applicable Margin plus a 0.10% credit spread adjustment or, if SOFR is no longer available, (b) the Alternate Base Rate plus the Applicable Margin minus 1.0%. The Applicable Margin under the MLP Revolver varies between 1.75% and 2.75%, depending on the Partnership's Consolidated Leverage Ratio.</w:t>
      </w:r>
    </w:p>
    <w:p>
      <w:pPr>
        <w:spacing w:after="0" w:line="118"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Our subsidiary, Westlake Polymers LLC, is the administrative agent to a $600 million revolving credit facility with Westlake Chemical OpCo LP ("OpCo") (the "OpCo Revolver") that is scheduled to mature on July 12, 2027. As of June 30, 2024, outstanding borrowings under the credit facility totaled $23 million and bore interest at SOFR plus the Applicable Margin of 1.75% plus a 0.10% credit spread adjustment. On July 12, 2022, OpCo entered into the Second Amendment (the "OpCo Revolver Amendment") to the OpCo Revolver. The OpCo Revolver Amendment, among other things, extended the maturity date to July 12, 2027 and provided for the replacement of LIBOR with SOFR. Borrowings under the OpCo Revolver now bear interest at a variable rate of either (a) SOFR plus the Applicable Margin plus a 0.10% credit spread adjustment or, if SOFR is no longer available, (b) the Alternate Base Rate plus the Applicable Margin minus 1.0%. The Applicable Margin under the OpCo Revolver is 1.75%.</w:t>
      </w:r>
    </w:p>
    <w:p>
      <w:pPr>
        <w:spacing w:after="0" w:line="135" w:lineRule="exact"/>
        <w:rPr>
          <w:sz w:val="20"/>
          <w:szCs w:val="20"/>
          <w:color w:val="auto"/>
        </w:rPr>
      </w:pPr>
    </w:p>
    <w:p>
      <w:pPr>
        <w:ind w:right="80" w:firstLine="405"/>
        <w:spacing w:after="0" w:line="312" w:lineRule="auto"/>
        <w:rPr>
          <w:sz w:val="20"/>
          <w:szCs w:val="20"/>
          <w:color w:val="auto"/>
        </w:rPr>
      </w:pPr>
      <w:r>
        <w:rPr>
          <w:rFonts w:ascii="Times New Roman" w:cs="Times New Roman" w:eastAsia="Times New Roman" w:hAnsi="Times New Roman"/>
          <w:sz w:val="17"/>
          <w:szCs w:val="17"/>
          <w:color w:val="auto"/>
        </w:rPr>
        <w:t>We consolidate Westlake Partners and OpCo for financial reporting purposes as we have a controlling financial interest. As such, the revolving credit facilities described above between our subsidiaries and Westlake Partners and OpCo are eliminated from the financial statements upon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4" w:lineRule="exact"/>
        <w:rPr>
          <w:sz w:val="20"/>
          <w:szCs w:val="20"/>
          <w:color w:val="auto"/>
        </w:rPr>
      </w:pPr>
    </w:p>
    <w:p>
      <w:pPr>
        <w:ind w:right="200" w:firstLine="405"/>
        <w:spacing w:after="0" w:line="274" w:lineRule="auto"/>
        <w:rPr>
          <w:sz w:val="20"/>
          <w:szCs w:val="20"/>
          <w:color w:val="auto"/>
        </w:rPr>
      </w:pPr>
      <w:r>
        <w:rPr>
          <w:rFonts w:ascii="Times New Roman" w:cs="Times New Roman" w:eastAsia="Times New Roman" w:hAnsi="Times New Roman"/>
          <w:sz w:val="17"/>
          <w:szCs w:val="17"/>
          <w:color w:val="auto"/>
        </w:rPr>
        <w:t>The Private Securities Litigation Reform Act of 1995 provides safe harbor provisions for forward-looking information. Certain of the statements contained in this report are forward-looking statements. All statements, other than statements of historical facts, included in this report that address activities, events or developments that we expect, project, believe or anticipate will or may occur in the future are forward-looking statements. Forward-looking statements can be identified by the use of words such as "believes," "intends," "may," "should," "could," "anticipates," "expected"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p>
      <w:pPr>
        <w:spacing w:after="0" w:line="51" w:lineRule="exact"/>
        <w:rPr>
          <w:sz w:val="20"/>
          <w:szCs w:val="20"/>
          <w:color w:val="auto"/>
        </w:rPr>
      </w:pPr>
    </w:p>
    <w:p>
      <w:pPr>
        <w:ind w:left="900" w:hanging="325"/>
        <w:spacing w:after="0" w:line="260" w:lineRule="auto"/>
        <w:tabs>
          <w:tab w:leader="none" w:pos="895"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the ultimate timing, outcome and results of integrating the operations of any acquisitions and the ultimate outcome of our operating efficiencies applied to the products and services; the effects of any such acquisition, including the combined company's future financial condition, results of operations, strategy and plans; and expected synergies and other benefits from any such acquisition and our ability to realize such synergies and other benefits;</w:t>
      </w:r>
    </w:p>
    <w:p>
      <w:pPr>
        <w:spacing w:after="0" w:line="6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operating rates, margins, cash flows and demand for our products;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market outlook, including the price of crude oil, natural gas, ethane, housing starts and repair and remodeling activity;</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outlook, including rising interest rates, inflation and possible recession;</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widespread outbreak of an illness or any other communicable disease, or any other public health crisis;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capacities;</w:t>
      </w:r>
    </w:p>
    <w:p>
      <w:pPr>
        <w:spacing w:after="0" w:line="103" w:lineRule="exact"/>
        <w:rPr>
          <w:rFonts w:ascii="Times New Roman" w:cs="Times New Roman" w:eastAsia="Times New Roman" w:hAnsi="Times New Roman"/>
          <w:sz w:val="18"/>
          <w:szCs w:val="18"/>
          <w:color w:val="auto"/>
        </w:rPr>
      </w:pPr>
    </w:p>
    <w:p>
      <w:pPr>
        <w:ind w:left="900" w:right="420" w:hanging="325"/>
        <w:spacing w:after="0" w:line="282" w:lineRule="auto"/>
        <w:tabs>
          <w:tab w:leader="none" w:pos="8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uncertainties and ongoing supply chain constraints caused by the Panama Canal reduced transit capacity and conflicts in the Middle East and between Russia and Ukraine;</w:t>
      </w:r>
    </w:p>
    <w:p>
      <w:pPr>
        <w:spacing w:after="0" w:line="4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devaluation;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borrow under our credit agreement;</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our liquidity needs;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debt obligations under our debt instruments;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intended quarterly dividends;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capacity additions and expansions in the industries in which we compete;</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funding and results of capital projects;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 obligations, funding requirements and investment policies;</w:t>
      </w:r>
    </w:p>
    <w:p>
      <w:pPr>
        <w:spacing w:after="0" w:line="103" w:lineRule="exact"/>
        <w:rPr>
          <w:rFonts w:ascii="Times New Roman" w:cs="Times New Roman" w:eastAsia="Times New Roman" w:hAnsi="Times New Roman"/>
          <w:sz w:val="18"/>
          <w:szCs w:val="18"/>
          <w:color w:val="auto"/>
        </w:rPr>
      </w:pPr>
    </w:p>
    <w:p>
      <w:pPr>
        <w:ind w:left="900" w:right="300" w:hanging="325"/>
        <w:spacing w:after="0" w:line="266" w:lineRule="auto"/>
        <w:tabs>
          <w:tab w:leader="none" w:pos="8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present and future environmental regulations and costs associated with environmentally related penalties, capital expenditures, remedial actions and proceedings, including any new laws, regulations or treaties that may come into force to limit or control carbon dioxide and other greenhouse gas emissions or to address other issues of climate change;</w:t>
      </w:r>
    </w:p>
    <w:p>
      <w:pPr>
        <w:spacing w:after="0" w:line="4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of losses under our insurance policies;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pending legal proceedings and settlements;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and amount of capital expenditures; and</w:t>
      </w:r>
    </w:p>
    <w:p>
      <w:pPr>
        <w:spacing w:after="0" w:line="90" w:lineRule="exact"/>
        <w:rPr>
          <w:rFonts w:ascii="Times New Roman" w:cs="Times New Roman" w:eastAsia="Times New Roman" w:hAnsi="Times New Roman"/>
          <w:sz w:val="18"/>
          <w:szCs w:val="18"/>
          <w:color w:val="auto"/>
        </w:rPr>
      </w:pPr>
    </w:p>
    <w:p>
      <w:pPr>
        <w:ind w:left="900" w:right="880" w:hanging="325"/>
        <w:spacing w:after="0" w:line="282" w:lineRule="auto"/>
        <w:tabs>
          <w:tab w:leader="none" w:pos="8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mothballing of the AC and ECH Units (such as timing and amount of recognition of related costs, expectation of material improvement of the financial performance of our Pernis, Netherlands site).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We have based these statements on assumptions and analyses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While it is not possible to identify all factors, we continue to face many risks and uncertainties. Among the factors that could cause actual future results to differ materially are the risks and uncertainties discussed under "Risk Factors" in the 2023 Form 10-K and those described from time to time in our other filings with the SEC including, but not limited to, the following:</w:t>
      </w:r>
    </w:p>
    <w:p>
      <w:pPr>
        <w:spacing w:after="0" w:line="66" w:lineRule="exact"/>
        <w:rPr>
          <w:sz w:val="20"/>
          <w:szCs w:val="20"/>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including inflation, interest rates and possible recession;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cyclical nature of the chemical and building products industries;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cost and volatility of raw materials and energy;</w:t>
      </w:r>
    </w:p>
    <w:p>
      <w:pPr>
        <w:spacing w:after="0" w:line="103" w:lineRule="exact"/>
        <w:rPr>
          <w:rFonts w:ascii="Times New Roman" w:cs="Times New Roman" w:eastAsia="Times New Roman" w:hAnsi="Times New Roman"/>
          <w:sz w:val="18"/>
          <w:szCs w:val="18"/>
          <w:color w:val="auto"/>
        </w:rPr>
      </w:pPr>
    </w:p>
    <w:p>
      <w:pPr>
        <w:ind w:left="900" w:right="220" w:hanging="325"/>
        <w:spacing w:after="0" w:line="282" w:lineRule="auto"/>
        <w:tabs>
          <w:tab w:leader="none" w:pos="8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United States, European and worldwide economies, including those due to political tensions and conflict in the Middle East, Russia and Ukraine and elsewhere;</w:t>
      </w:r>
    </w:p>
    <w:p>
      <w:pPr>
        <w:spacing w:after="0" w:line="26"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pandemic infectious diseases;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climate change;</w:t>
      </w:r>
    </w:p>
    <w:p>
      <w:pPr>
        <w:spacing w:after="0" w:line="103" w:lineRule="exact"/>
        <w:rPr>
          <w:rFonts w:ascii="Times New Roman" w:cs="Times New Roman" w:eastAsia="Times New Roman" w:hAnsi="Times New Roman"/>
          <w:sz w:val="18"/>
          <w:szCs w:val="18"/>
          <w:color w:val="auto"/>
        </w:rPr>
      </w:pPr>
    </w:p>
    <w:p>
      <w:pPr>
        <w:ind w:left="900" w:right="240" w:hanging="325"/>
        <w:spacing w:after="0" w:line="282" w:lineRule="auto"/>
        <w:tabs>
          <w:tab w:leader="none" w:pos="8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on demand for ethylene, polyethylene and polyvinyl chloride due to initiatives such as recycling and customers seeking alternatives to polymers;</w:t>
      </w:r>
    </w:p>
    <w:p>
      <w:pPr>
        <w:spacing w:after="0" w:line="26"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potential governmental regulatory actions in the United States and other countries;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production capacity and operating rates;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supply/demand balance for our products;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products and pricing pressures;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credit and financial markets;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capital markets;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w:t>
      </w:r>
    </w:p>
    <w:p>
      <w:pPr>
        <w:spacing w:after="0" w:line="103" w:lineRule="exact"/>
        <w:rPr>
          <w:rFonts w:ascii="Times New Roman" w:cs="Times New Roman" w:eastAsia="Times New Roman" w:hAnsi="Times New Roman"/>
          <w:sz w:val="18"/>
          <w:szCs w:val="18"/>
          <w:color w:val="auto"/>
        </w:rPr>
      </w:pPr>
    </w:p>
    <w:p>
      <w:pPr>
        <w:ind w:left="900" w:right="660" w:hanging="325"/>
        <w:spacing w:after="0" w:line="282" w:lineRule="auto"/>
        <w:tabs>
          <w:tab w:leader="none" w:pos="8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interruptions (including leaks, explosions, fires, weather-related incidents, mechanical failure, unscheduled downtime, labor difficulties, transportation interruptions, spills and releases and other environmental risks);</w:t>
      </w:r>
    </w:p>
    <w:p>
      <w:pPr>
        <w:spacing w:after="0" w:line="4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including trade policies;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developments;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systems failures and cyberattacks;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risks;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strategies; and</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creditworthiness of our customers.</w:t>
      </w:r>
    </w:p>
    <w:p>
      <w:pPr>
        <w:spacing w:after="0" w:line="171"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Many of such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108"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A substantial portion of our products and raw materials are commodities whose prices fluctuate as market supply and demand fundamentals change. Accordingly, product margins and the level of our profitability tend to fluctuate with changes in the business cycle. We try to protect against such instability through various business strategies. Our strategies include ethylene product feedstock flexibility and moving downstream into our other products where pricing is more stable. We use derivative instruments (including commodity swaps and options) in certain instances to reduce price volatility risk on feedstocks and products. Based on our open derivative positions at June 30, 2024, a hypothetical $0.10 increase in the price of a gallon of ethane and a hypothetical $0.10 increase in the price of a million British thermal units of natural gas would not have a material impact on our income before income taxes.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94"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We are exposed to interest rate risk with respect to fixed and variable rate debt. At June 30, 2024, we had $4,950 million aggregate principal amount of fixed rate debt. We are subject to the risk of higher interest cost if and when this debt is refinanced. If interest rates were 1.0% higher at the time of refinancing, our annual interest expense would increase by approximately $50 million. Also, at June 30, 2024, we had $21 million principal amount of variable rate debt outstanding, which represents the term loans due 2026 and the tax-exempt waste disposal revenue bonds due 2027. We do not currently hedge our variable interest rate debt, but we may do so in the future. The weighted average variable interest rate for our variable rate debt of $21 million as of June 30, 2024 was 2.68%. A hypothetical 100 basis point increase in the average interest rate on our variable rate debt would not result in a material change in the interest expense.</w:t>
      </w:r>
    </w:p>
    <w:p>
      <w:pPr>
        <w:spacing w:after="0" w:line="135" w:lineRule="exact"/>
        <w:rPr>
          <w:sz w:val="20"/>
          <w:szCs w:val="20"/>
          <w:color w:val="auto"/>
        </w:rPr>
      </w:pPr>
    </w:p>
    <w:p>
      <w:pPr>
        <w:ind w:right="480" w:firstLine="405"/>
        <w:spacing w:after="0" w:line="282" w:lineRule="auto"/>
        <w:rPr>
          <w:sz w:val="20"/>
          <w:szCs w:val="20"/>
          <w:color w:val="auto"/>
        </w:rPr>
      </w:pPr>
      <w:r>
        <w:rPr>
          <w:rFonts w:ascii="Times New Roman" w:cs="Times New Roman" w:eastAsia="Times New Roman" w:hAnsi="Times New Roman"/>
          <w:sz w:val="18"/>
          <w:szCs w:val="18"/>
          <w:color w:val="auto"/>
        </w:rPr>
        <w:t>SOFR is used as a reference rate for borrowings under our revolving line of credit. We did not have any SOFR-based borrowings outstanding at June 30,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108" w:lineRule="exact"/>
        <w:rPr>
          <w:sz w:val="20"/>
          <w:szCs w:val="20"/>
          <w:color w:val="auto"/>
        </w:rPr>
      </w:pPr>
    </w:p>
    <w:p>
      <w:pPr>
        <w:ind w:right="140" w:firstLine="405"/>
        <w:spacing w:after="0" w:line="253" w:lineRule="auto"/>
        <w:rPr>
          <w:sz w:val="20"/>
          <w:szCs w:val="20"/>
          <w:color w:val="auto"/>
        </w:rPr>
      </w:pPr>
      <w:r>
        <w:rPr>
          <w:rFonts w:ascii="Times New Roman" w:cs="Times New Roman" w:eastAsia="Times New Roman" w:hAnsi="Times New Roman"/>
          <w:sz w:val="18"/>
          <w:szCs w:val="18"/>
          <w:color w:val="auto"/>
        </w:rPr>
        <w:t>We are exposed to foreign currency exchange rate risk associated with our international operations. However, the effect of fluctuations in foreign currency exchange rates caused by our international operations has not had a material impact on our overall operating results. We may engage in activities to mitigate our exposure to foreign currency exchange risk in certain instances through the use of currency exchange derivative instruments, including forward exchange contracts, cross-currency swaps or spot purchases. A forward exchange contract obligates us to exchange predetermined amounts of specified currencies at a stated exchange rate on a stated date. A cross-currency swap obligates us to make periodic payments in the local currency and receive periodic payments in our functional currency based on the notional amount of the instrument. In January 2018, we entered into foreign exchange hedging contracts designated as net investment hedges with an aggregate notional value of €220 million designed to reduce the volatility in stockholders' equity from changes in currency exchange rates associated with our net investments in foreign operations. In July 2019, we terminated a portion of the foreign exchange hedging contract with a notional value of €70 million. The notional value of the remaining net investment hedges was €150 million at June 30, 2024. The arrangement is scheduled to settle in 2026.</w:t>
      </w:r>
    </w:p>
    <w:p>
      <w:pPr>
        <w:spacing w:after="0" w:line="140" w:lineRule="exact"/>
        <w:rPr>
          <w:sz w:val="20"/>
          <w:szCs w:val="20"/>
          <w:color w:val="auto"/>
        </w:rPr>
      </w:pPr>
    </w:p>
    <w:p>
      <w:pPr>
        <w:ind w:right="760" w:firstLine="405"/>
        <w:spacing w:after="0" w:line="266" w:lineRule="auto"/>
        <w:rPr>
          <w:sz w:val="20"/>
          <w:szCs w:val="20"/>
          <w:color w:val="auto"/>
        </w:rPr>
      </w:pPr>
      <w:r>
        <w:rPr>
          <w:rFonts w:ascii="Times New Roman" w:cs="Times New Roman" w:eastAsia="Times New Roman" w:hAnsi="Times New Roman"/>
          <w:sz w:val="18"/>
          <w:szCs w:val="18"/>
          <w:color w:val="auto"/>
        </w:rPr>
        <w:t>In July 2019, we completed the registered public offering of €700 million aggregate principal amount of the 1.625% 2029 Senior Notes. We designated this euro-denominated debt as a non-derivative net investment hedge of a portion of our net investments in euro functional-currency denominated subsidiaries to offset foreign currency fluctuations.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94"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President and Chief Executive Officer and our Executive Vice President and Chief Financial Officer, of the effectiveness of our disclosure controls and procedures pursuant to Rules 13a-15 or 15d-15 under the Securities Exchange Act of 1934 as of the end of the period covered by this report. Based upon that evaluation, our President and Chief Executive Officer and our Executive Vice President and Chief Financial Officer concluded that our disclosure controls and procedures are effective with respect to (i) the accumulation and communication to our management, including our Chief Executive Officer and our Chief Financial Officer, of information required to be disclosed by us in the reports that we submit under the Exchange Act, and (ii) the recording, processing, summarizing and reporting of such information within the time periods specified in the SEC's rules and forms.</w:t>
      </w:r>
    </w:p>
    <w:p>
      <w:pPr>
        <w:spacing w:after="0" w:line="135"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June 30, 2024 that have materially affected, or are reasonably likely to materially affect, our internal control over financial reporting.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94" w:lineRule="exact"/>
        <w:rPr>
          <w:sz w:val="20"/>
          <w:szCs w:val="20"/>
          <w:color w:val="auto"/>
        </w:rPr>
      </w:pPr>
    </w:p>
    <w:p>
      <w:pPr>
        <w:jc w:val="both"/>
        <w:ind w:right="120" w:firstLine="405"/>
        <w:spacing w:after="0" w:line="266" w:lineRule="auto"/>
        <w:rPr>
          <w:sz w:val="20"/>
          <w:szCs w:val="20"/>
          <w:color w:val="auto"/>
        </w:rPr>
      </w:pPr>
      <w:r>
        <w:rPr>
          <w:rFonts w:ascii="Times New Roman" w:cs="Times New Roman" w:eastAsia="Times New Roman" w:hAnsi="Times New Roman"/>
          <w:sz w:val="18"/>
          <w:szCs w:val="18"/>
          <w:color w:val="auto"/>
        </w:rPr>
        <w:t>The 2023 Form 10-K, filed on February 22, 2024, contained a description of various legal proceedings in which we are involved. See Note 13 to the unaudited consolidated financial statements within this Quarterly Report on Form 10-Q for an updated description of certain of those proceedings, which information is incorporated by reference herein.</w:t>
      </w:r>
    </w:p>
    <w:p>
      <w:pPr>
        <w:spacing w:after="0" w:line="12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From time to time, we receive notices or inquiries from government entities regarding alleged violations of environmental laws and regulations pertaining to, among other things, the disposal, emission and storage of chemical substances, including hazardous wastes. For a description of certain environmental matters involving a governmental authority as a party to the proceedings and potential monetary sanctions that we believe could exceed $1 million (which is less than one percent of our current assets on a consolidated basis as of June 30, 2024), please see the 2023 Form 10-K and Note 13 to the unaudited consolidated financial statements within this Quarterly Report on Form 10-Q, in addition to the following:</w:t>
      </w:r>
    </w:p>
    <w:p>
      <w:pPr>
        <w:spacing w:after="0" w:line="62" w:lineRule="exact"/>
        <w:rPr>
          <w:sz w:val="20"/>
          <w:szCs w:val="20"/>
          <w:color w:val="auto"/>
        </w:rPr>
      </w:pPr>
    </w:p>
    <w:p>
      <w:pPr>
        <w:ind w:left="900" w:right="600" w:hanging="325"/>
        <w:spacing w:after="0" w:line="289" w:lineRule="auto"/>
        <w:tabs>
          <w:tab w:leader="none" w:pos="89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resolve alleged violations associated with exceedances of discharge limits under the Natrium facility's National Pollutant Discharge Elimination System ("NPDES") permit, effective August 2020, we have entered into enforcement negotiations with the West Virginia Department of Environmental Protection ("WVDEP"). The resolution of this matter may involve a penalty in excess of $1 million.</w:t>
      </w:r>
    </w:p>
    <w:p>
      <w:pPr>
        <w:spacing w:after="0" w:line="36" w:lineRule="exact"/>
        <w:rPr>
          <w:rFonts w:ascii="Times New Roman" w:cs="Times New Roman" w:eastAsia="Times New Roman" w:hAnsi="Times New Roman"/>
          <w:sz w:val="17"/>
          <w:szCs w:val="17"/>
          <w:color w:val="auto"/>
        </w:rPr>
      </w:pPr>
    </w:p>
    <w:p>
      <w:pPr>
        <w:jc w:val="both"/>
        <w:ind w:left="900" w:right="40" w:hanging="325"/>
        <w:spacing w:after="0" w:line="266" w:lineRule="auto"/>
        <w:tabs>
          <w:tab w:leader="none" w:pos="8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2019, U.S. EPA Region 6 issued a Notice of Violation alleging certain violations of the Clean Air Act following an inspection of the Lake Charles North facility in 2019 by the National Enforcement Investigation Center. The resolution of this matter may involve a penalty in excess of $1 million.</w:t>
      </w:r>
    </w:p>
    <w:p>
      <w:pPr>
        <w:spacing w:after="0" w:line="122"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In addition to the matters described above, we are also involved in other legal proceedings incidental to the conduct of our business. From time to time, we receive notices or inquiries from government entities regarding alleged violations of environmental laws and regulations pertaining to, among other things, the disposal, emission and storage of chemical substances, including hazardous wastes. We do not believe that any of these legal proceedings will have a material adverse effect on our financial condition, results of operations or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For a discussion of risk factors, please read Item 1A, "Risk Factors" in the 2023 Form 10-K. The risks described in the report and other documents that we file from time to time with the Securities and Exchange Commission could materially and adversely affect our business, results of operations, cash flow, liquidity or financial condition.</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information on our purchases of our common stock during the quarter ended June 30, 2024.</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vMerge w:val="restart"/>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46"/>
        </w:trPr>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jc w:val="center"/>
              <w:ind w:right="83"/>
              <w:spacing w:after="0" w:line="146" w:lineRule="exact"/>
              <w:rPr>
                <w:sz w:val="20"/>
                <w:szCs w:val="20"/>
                <w:color w:val="auto"/>
              </w:rPr>
            </w:pPr>
            <w:r>
              <w:rPr>
                <w:rFonts w:ascii="Times New Roman" w:cs="Times New Roman" w:eastAsia="Times New Roman" w:hAnsi="Times New Roman"/>
                <w:sz w:val="14"/>
                <w:szCs w:val="14"/>
                <w:b w:val="1"/>
                <w:bCs w:val="1"/>
                <w:color w:val="auto"/>
              </w:rPr>
              <w:t>(or Approximate</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jc w:val="center"/>
              <w:ind w:right="103"/>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37"/>
        </w:trPr>
        <w:tc>
          <w:tcPr>
            <w:tcW w:w="3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480" w:type="dxa"/>
            <w:vAlign w:val="bottom"/>
          </w:tcPr>
          <w:p>
            <w:pPr>
              <w:jc w:val="center"/>
              <w:ind w:left="208"/>
              <w:spacing w:after="0" w:line="137" w:lineRule="exact"/>
              <w:rPr>
                <w:sz w:val="20"/>
                <w:szCs w:val="20"/>
                <w:color w:val="auto"/>
              </w:rPr>
            </w:pPr>
            <w:r>
              <w:rPr>
                <w:rFonts w:ascii="Times New Roman" w:cs="Times New Roman" w:eastAsia="Times New Roman" w:hAnsi="Times New Roman"/>
                <w:sz w:val="14"/>
                <w:szCs w:val="14"/>
                <w:b w:val="1"/>
                <w:bCs w:val="1"/>
                <w:color w:val="auto"/>
              </w:rPr>
              <w:t>Purchased as Part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jc w:val="center"/>
              <w:ind w:right="103"/>
              <w:spacing w:after="0" w:line="137" w:lineRule="exact"/>
              <w:rPr>
                <w:sz w:val="20"/>
                <w:szCs w:val="20"/>
                <w:color w:val="auto"/>
              </w:rPr>
            </w:pPr>
            <w:r>
              <w:rPr>
                <w:rFonts w:ascii="Times New Roman" w:cs="Times New Roman" w:eastAsia="Times New Roman" w:hAnsi="Times New Roman"/>
                <w:sz w:val="14"/>
                <w:szCs w:val="14"/>
                <w:b w:val="1"/>
                <w:bCs w:val="1"/>
                <w:color w:val="auto"/>
              </w:rPr>
              <w:t>Shares that</w:t>
            </w:r>
          </w:p>
        </w:tc>
        <w:tc>
          <w:tcPr>
            <w:tcW w:w="0" w:type="dxa"/>
            <w:vAlign w:val="bottom"/>
          </w:tcPr>
          <w:p>
            <w:pPr>
              <w:spacing w:after="0"/>
              <w:rPr>
                <w:sz w:val="1"/>
                <w:szCs w:val="1"/>
                <w:color w:val="auto"/>
              </w:rPr>
            </w:pPr>
          </w:p>
        </w:tc>
      </w:tr>
      <w:tr>
        <w:trPr>
          <w:trHeight w:val="146"/>
        </w:trPr>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480" w:type="dxa"/>
            <w:vAlign w:val="bottom"/>
          </w:tcPr>
          <w:p>
            <w:pPr>
              <w:jc w:val="center"/>
              <w:ind w:left="228"/>
              <w:spacing w:after="0" w:line="146" w:lineRule="exact"/>
              <w:rPr>
                <w:sz w:val="20"/>
                <w:szCs w:val="20"/>
                <w:color w:val="auto"/>
              </w:rPr>
            </w:pPr>
            <w:r>
              <w:rPr>
                <w:rFonts w:ascii="Times New Roman" w:cs="Times New Roman" w:eastAsia="Times New Roman" w:hAnsi="Times New Roman"/>
                <w:sz w:val="14"/>
                <w:szCs w:val="14"/>
                <w:b w:val="1"/>
                <w:bCs w:val="1"/>
                <w:color w:val="auto"/>
              </w:rPr>
              <w:t>of Publicly</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jc w:val="center"/>
              <w:ind w:right="83"/>
              <w:spacing w:after="0" w:line="146"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49"/>
        </w:trPr>
        <w:tc>
          <w:tcPr>
            <w:tcW w:w="3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148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jc w:val="center"/>
              <w:ind w:right="103"/>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203"/>
        </w:trPr>
        <w:tc>
          <w:tcPr>
            <w:tcW w:w="3900" w:type="dxa"/>
            <w:vAlign w:val="bottom"/>
            <w:gridSpan w:val="2"/>
            <w:vMerge w:val="continue"/>
          </w:tcPr>
          <w:p>
            <w:pPr>
              <w:spacing w:after="0"/>
              <w:rPr>
                <w:sz w:val="17"/>
                <w:szCs w:val="17"/>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Purchased </w:t>
            </w:r>
            <w:r>
              <w:rPr>
                <w:rFonts w:ascii="Times New Roman" w:cs="Times New Roman" w:eastAsia="Times New Roman" w:hAnsi="Times New Roman"/>
                <w:sz w:val="9"/>
                <w:szCs w:val="9"/>
                <w:b w:val="1"/>
                <w:bCs w:val="1"/>
                <w:color w:val="auto"/>
              </w:rPr>
              <w:t>(1)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48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 xml:space="preserve">or Programs </w:t>
            </w:r>
            <w:r>
              <w:rPr>
                <w:rFonts w:ascii="Times New Roman" w:cs="Times New Roman" w:eastAsia="Times New Roman" w:hAnsi="Times New Roman"/>
                <w:sz w:val="9"/>
                <w:szCs w:val="9"/>
                <w:b w:val="1"/>
                <w:bCs w:val="1"/>
                <w:color w:val="auto"/>
              </w:rPr>
              <w:t>(2)</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center"/>
              <w:ind w:right="103"/>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Plans or Programs </w:t>
            </w:r>
            <w:r>
              <w:rPr>
                <w:rFonts w:ascii="Times New Roman" w:cs="Times New Roman" w:eastAsia="Times New Roman" w:hAnsi="Times New Roman"/>
                <w:sz w:val="18"/>
                <w:szCs w:val="18"/>
                <w:b w:val="1"/>
                <w:bCs w:val="1"/>
                <w:color w:val="auto"/>
                <w:vertAlign w:val="superscript"/>
              </w:rPr>
              <w:t>(2)</w:t>
            </w:r>
          </w:p>
        </w:tc>
        <w:tc>
          <w:tcPr>
            <w:tcW w:w="0" w:type="dxa"/>
            <w:vAlign w:val="bottom"/>
          </w:tcPr>
          <w:p>
            <w:pPr>
              <w:spacing w:after="0"/>
              <w:rPr>
                <w:sz w:val="1"/>
                <w:szCs w:val="1"/>
                <w:color w:val="auto"/>
              </w:rPr>
            </w:pPr>
          </w:p>
        </w:tc>
      </w:tr>
      <w:tr>
        <w:trPr>
          <w:trHeight w:val="223"/>
        </w:trPr>
        <w:tc>
          <w:tcPr>
            <w:tcW w:w="3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2024</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154.88</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476,162,426</w:t>
            </w:r>
          </w:p>
        </w:tc>
        <w:tc>
          <w:tcPr>
            <w:tcW w:w="0" w:type="dxa"/>
            <w:vAlign w:val="bottom"/>
          </w:tcPr>
          <w:p>
            <w:pPr>
              <w:spacing w:after="0"/>
              <w:rPr>
                <w:sz w:val="1"/>
                <w:szCs w:val="1"/>
                <w:color w:val="auto"/>
              </w:rPr>
            </w:pPr>
          </w:p>
        </w:tc>
      </w:tr>
      <w:tr>
        <w:trPr>
          <w:trHeight w:val="230"/>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2024</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19"/>
                <w:szCs w:val="19"/>
                <w:color w:val="auto"/>
              </w:rPr>
            </w:pPr>
          </w:p>
        </w:tc>
        <w:tc>
          <w:tcPr>
            <w:tcW w:w="5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476,162,426</w:t>
            </w:r>
          </w:p>
        </w:tc>
        <w:tc>
          <w:tcPr>
            <w:tcW w:w="0" w:type="dxa"/>
            <w:vAlign w:val="bottom"/>
          </w:tcPr>
          <w:p>
            <w:pPr>
              <w:spacing w:after="0"/>
              <w:rPr>
                <w:sz w:val="1"/>
                <w:szCs w:val="1"/>
                <w:color w:val="auto"/>
              </w:rPr>
            </w:pPr>
          </w:p>
        </w:tc>
      </w:tr>
      <w:tr>
        <w:trPr>
          <w:trHeight w:val="289"/>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2024</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spacing w:after="0"/>
              <w:rPr>
                <w:sz w:val="24"/>
                <w:szCs w:val="24"/>
                <w:color w:val="auto"/>
              </w:rPr>
            </w:pPr>
          </w:p>
        </w:tc>
        <w:tc>
          <w:tcPr>
            <w:tcW w:w="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476,162,426</w:t>
            </w:r>
          </w:p>
        </w:tc>
        <w:tc>
          <w:tcPr>
            <w:tcW w:w="0" w:type="dxa"/>
            <w:vAlign w:val="bottom"/>
          </w:tcPr>
          <w:p>
            <w:pPr>
              <w:spacing w:after="0"/>
              <w:rPr>
                <w:sz w:val="1"/>
                <w:szCs w:val="1"/>
                <w:color w:val="auto"/>
              </w:rPr>
            </w:pPr>
          </w:p>
        </w:tc>
      </w:tr>
      <w:tr>
        <w:trPr>
          <w:trHeight w:val="190"/>
        </w:trPr>
        <w:tc>
          <w:tcPr>
            <w:tcW w:w="38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760" w:type="dxa"/>
            <w:vAlign w:val="bottom"/>
            <w:tcBorders>
              <w:top w:val="single" w:sz="8" w:color="auto"/>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308</w:t>
            </w:r>
          </w:p>
        </w:tc>
        <w:tc>
          <w:tcPr>
            <w:tcW w:w="380" w:type="dxa"/>
            <w:vAlign w:val="bottom"/>
            <w:tcBorders>
              <w:top w:val="single" w:sz="8" w:color="CCEEFF"/>
            </w:tcBorders>
            <w:gridSpan w:val="2"/>
          </w:tcPr>
          <w:p>
            <w:pPr>
              <w:jc w:val="right"/>
              <w:ind w:right="90"/>
              <w:spacing w:after="0" w:line="190"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CCEEFF"/>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154.88</w:t>
            </w:r>
          </w:p>
        </w:tc>
        <w:tc>
          <w:tcPr>
            <w:tcW w:w="100" w:type="dxa"/>
            <w:vAlign w:val="bottom"/>
            <w:tcBorders>
              <w:top w:val="single" w:sz="8" w:color="CCEEFF"/>
            </w:tcBorders>
          </w:tcPr>
          <w:p>
            <w:pPr>
              <w:spacing w:after="0"/>
              <w:rPr>
                <w:sz w:val="16"/>
                <w:szCs w:val="16"/>
                <w:color w:val="auto"/>
              </w:rPr>
            </w:pPr>
          </w:p>
        </w:tc>
        <w:tc>
          <w:tcPr>
            <w:tcW w:w="148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ind w:left="40"/>
              <w:spacing w:after="0" w:line="190"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w:t>
            </w: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3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460" w:right="760" w:hanging="412"/>
        <w:spacing w:after="0" w:line="281" w:lineRule="auto"/>
        <w:tabs>
          <w:tab w:leader="none" w:pos="44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308 shares withheld in April 2024, in satisfaction of withholding taxes due upon the vesting of restricted stock units granted to our employees under the 2013 Omnibus Incentive Plan (as amended and restated effective May 11, 2023).</w:t>
      </w:r>
    </w:p>
    <w:p>
      <w:pPr>
        <w:spacing w:after="0" w:line="1" w:lineRule="exact"/>
        <w:rPr>
          <w:rFonts w:ascii="Times New Roman" w:cs="Times New Roman" w:eastAsia="Times New Roman" w:hAnsi="Times New Roman"/>
          <w:sz w:val="18"/>
          <w:szCs w:val="18"/>
          <w:color w:val="auto"/>
        </w:rPr>
      </w:pPr>
    </w:p>
    <w:p>
      <w:pPr>
        <w:ind w:left="460" w:right="20" w:hanging="412"/>
        <w:spacing w:after="0" w:line="254" w:lineRule="auto"/>
        <w:tabs>
          <w:tab w:leader="none" w:pos="44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2014, our Board of Directors authorized a $250 million stock repurchase program (the "2014 Program"). In November 2015, our Board of Directors approved the expansion of the 2014 Program by an additional $150 million. In August 2018, our Board of Directors approved the further expansion of the existing 2014 Program by an additional $150 million. In August 2022, our Board of Directors approved the further expansion of the existing 2014 Program by an additional $500 million. As of June 30, 2024, 8,722,550 shares of our common stock had been acquired at an aggregate purchase price of approximately $574 million under the 2014 Program. Transaction fees and commissions are not reported in the average price paid per share in the table above. Decisions regarding the amount and the timing of purchases under the 2014 Program will be influenced by our cash on hand, our cash flows from operations, general market conditions and other factors. The 2014 Program may be discontinued by our Board of Directors at any time.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6" w:lineRule="exact"/>
        <w:rPr>
          <w:sz w:val="20"/>
          <w:szCs w:val="20"/>
          <w:color w:val="auto"/>
        </w:rPr>
      </w:pPr>
    </w:p>
    <w:p>
      <w:pPr>
        <w:ind w:right="36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Rule 10b5-1 Trading Arrangements. </w:t>
      </w:r>
      <w:r>
        <w:rPr>
          <w:rFonts w:ascii="Times New Roman" w:cs="Times New Roman" w:eastAsia="Times New Roman" w:hAnsi="Times New Roman"/>
          <w:sz w:val="18"/>
          <w:szCs w:val="18"/>
          <w:color w:val="auto"/>
        </w:rPr>
        <w:t>During the three months ended June 30, 2024, no director or officer of the Company adopted or terminated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 10b5-1 trading arrangement" or "non-Rule 10b5-1 trading arrangement," as each term is defined in Item 408 of Regulation S-K.</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532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20"/>
        </w:trPr>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580" w:type="dxa"/>
            <w:vAlign w:val="bottom"/>
          </w:tcPr>
          <w:p>
            <w:pPr>
              <w:spacing w:after="0"/>
              <w:rPr>
                <w:sz w:val="24"/>
                <w:szCs w:val="24"/>
                <w:color w:val="auto"/>
              </w:rPr>
            </w:pPr>
          </w:p>
        </w:tc>
        <w:tc>
          <w:tcPr>
            <w:tcW w:w="9840" w:type="dxa"/>
            <w:vAlign w:val="bottom"/>
            <w:gridSpan w:val="10"/>
          </w:tcPr>
          <w:p>
            <w:pPr>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Restated Certificate of Incorporation of Westlake as filed with the Delaware Secretary of State on February 20, 2024 (incorporated by</w:t>
              </w:r>
            </w:hyperlink>
          </w:p>
        </w:tc>
      </w:tr>
      <w:tr>
        <w:trPr>
          <w:trHeight w:val="183"/>
        </w:trPr>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40" w:type="dxa"/>
            <w:vAlign w:val="bottom"/>
            <w:tcBorders>
              <w:top w:val="single" w:sz="8" w:color="0000FF"/>
              <w:bottom w:val="single" w:sz="8" w:color="0000FF"/>
            </w:tcBorders>
            <w:gridSpan w:val="7"/>
          </w:tcPr>
          <w:p>
            <w:pPr>
              <w:spacing w:after="0" w:line="182" w:lineRule="exact"/>
              <w:rPr>
                <w:rFonts w:ascii="Times New Roman" w:cs="Times New Roman" w:eastAsia="Times New Roman" w:hAnsi="Times New Roman"/>
                <w:sz w:val="18"/>
                <w:szCs w:val="18"/>
                <w:color w:val="0000FF"/>
                <w:w w:val="99"/>
              </w:rPr>
            </w:pPr>
            <w:hyperlink r:id="rId59">
              <w:r>
                <w:rPr>
                  <w:rFonts w:ascii="Times New Roman" w:cs="Times New Roman" w:eastAsia="Times New Roman" w:hAnsi="Times New Roman"/>
                  <w:sz w:val="18"/>
                  <w:szCs w:val="18"/>
                  <w:color w:val="0000FF"/>
                  <w:w w:val="99"/>
                </w:rPr>
                <w:t>reference to Exhibit 3.1 to Westlake's Annual Report on Form 10-K for the year ended December 31, 2023 filed on February 22, 2024,</w:t>
              </w:r>
            </w:hyperlink>
          </w:p>
        </w:tc>
        <w:tc>
          <w:tcPr>
            <w:tcW w:w="60" w:type="dxa"/>
            <w:vAlign w:val="bottom"/>
            <w:tcBorders>
              <w:bottom w:val="single" w:sz="8" w:color="0000FF"/>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700" w:type="dxa"/>
            <w:vAlign w:val="bottom"/>
            <w:gridSpan w:val="8"/>
          </w:tcPr>
          <w:p>
            <w:pPr>
              <w:spacing w:after="0" w:line="182"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File No. 001-32260).</w:t>
              </w:r>
            </w:hyperlink>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580" w:type="dxa"/>
            <w:vAlign w:val="bottom"/>
          </w:tcPr>
          <w:p>
            <w:pPr>
              <w:spacing w:after="0"/>
              <w:rPr>
                <w:sz w:val="24"/>
                <w:szCs w:val="24"/>
                <w:color w:val="auto"/>
              </w:rPr>
            </w:pPr>
          </w:p>
        </w:tc>
        <w:tc>
          <w:tcPr>
            <w:tcW w:w="9840" w:type="dxa"/>
            <w:vAlign w:val="bottom"/>
            <w:gridSpan w:val="10"/>
          </w:tcPr>
          <w:p>
            <w:pPr>
              <w:spacing w:after="0"/>
              <w:rPr>
                <w:rFonts w:ascii="Times New Roman" w:cs="Times New Roman" w:eastAsia="Times New Roman" w:hAnsi="Times New Roman"/>
                <w:sz w:val="18"/>
                <w:szCs w:val="18"/>
                <w:color w:val="0000FF"/>
                <w:w w:val="99"/>
              </w:rPr>
            </w:pPr>
            <w:hyperlink r:id="rId60">
              <w:r>
                <w:rPr>
                  <w:rFonts w:ascii="Times New Roman" w:cs="Times New Roman" w:eastAsia="Times New Roman" w:hAnsi="Times New Roman"/>
                  <w:sz w:val="18"/>
                  <w:szCs w:val="18"/>
                  <w:color w:val="0000FF"/>
                  <w:w w:val="99"/>
                </w:rPr>
                <w:t>Amended and Restated Bylaws of Westlake (incorporated by reference to Westlake's Current Report on Form 8-K, filed on February 18,</w:t>
              </w:r>
            </w:hyperlink>
          </w:p>
        </w:tc>
      </w:tr>
      <w:tr>
        <w:trPr>
          <w:trHeight w:val="183"/>
        </w:trPr>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980" w:type="dxa"/>
            <w:vAlign w:val="bottom"/>
            <w:tcBorders>
              <w:top w:val="single" w:sz="8" w:color="0000FF"/>
              <w:bottom w:val="single" w:sz="8" w:color="0000FF"/>
            </w:tcBorders>
            <w:gridSpan w:val="2"/>
          </w:tcPr>
          <w:p>
            <w:pPr>
              <w:spacing w:after="0" w:line="182" w:lineRule="exact"/>
              <w:rPr>
                <w:rFonts w:ascii="Times New Roman" w:cs="Times New Roman" w:eastAsia="Times New Roman" w:hAnsi="Times New Roman"/>
                <w:sz w:val="18"/>
                <w:szCs w:val="18"/>
                <w:color w:val="0000FF"/>
                <w:w w:val="99"/>
              </w:rPr>
            </w:pPr>
            <w:hyperlink r:id="rId60">
              <w:r>
                <w:rPr>
                  <w:rFonts w:ascii="Times New Roman" w:cs="Times New Roman" w:eastAsia="Times New Roman" w:hAnsi="Times New Roman"/>
                  <w:sz w:val="18"/>
                  <w:szCs w:val="18"/>
                  <w:color w:val="0000FF"/>
                  <w:w w:val="99"/>
                </w:rPr>
                <w:t>2022, File No. 001-32260).</w:t>
              </w:r>
            </w:hyperlink>
          </w:p>
        </w:tc>
        <w:tc>
          <w:tcPr>
            <w:tcW w:w="7840" w:type="dxa"/>
            <w:vAlign w:val="bottom"/>
            <w:tcBorders>
              <w:top w:val="single" w:sz="8" w:color="0000FF"/>
            </w:tcBorders>
            <w:gridSpan w:val="7"/>
          </w:tcPr>
          <w:p>
            <w:pPr>
              <w:spacing w:after="0"/>
              <w:rPr>
                <w:sz w:val="15"/>
                <w:szCs w:val="15"/>
                <w:color w:val="auto"/>
              </w:rPr>
            </w:pPr>
          </w:p>
        </w:tc>
        <w:tc>
          <w:tcPr>
            <w:tcW w:w="20" w:type="dxa"/>
            <w:vAlign w:val="bottom"/>
          </w:tcPr>
          <w:p>
            <w:pPr>
              <w:spacing w:after="0"/>
              <w:rPr>
                <w:sz w:val="15"/>
                <w:szCs w:val="15"/>
                <w:color w:val="auto"/>
              </w:rPr>
            </w:pPr>
          </w:p>
        </w:tc>
      </w:tr>
      <w:tr>
        <w:trPr>
          <w:trHeight w:val="291"/>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98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Rule 13a – 14(a) / 15d – 14(a) Certification (Principal Executive Officer).</w:t>
            </w:r>
          </w:p>
        </w:tc>
      </w:tr>
      <w:tr>
        <w:trPr>
          <w:trHeight w:val="263"/>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52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Rule 13a – 14(a) / 15d – 14(a) Certification (Principal Financial Officer).</w:t>
            </w:r>
          </w:p>
        </w:tc>
        <w:tc>
          <w:tcPr>
            <w:tcW w:w="80" w:type="dxa"/>
            <w:vAlign w:val="bottom"/>
            <w:tcBorders>
              <w:top w:val="single" w:sz="8" w:color="0000FF"/>
            </w:tcBorders>
          </w:tcPr>
          <w:p>
            <w:pPr>
              <w:spacing w:after="0"/>
              <w:rPr>
                <w:sz w:val="22"/>
                <w:szCs w:val="22"/>
                <w:color w:val="auto"/>
              </w:rPr>
            </w:pPr>
          </w:p>
        </w:tc>
        <w:tc>
          <w:tcPr>
            <w:tcW w:w="4480" w:type="dxa"/>
            <w:vAlign w:val="bottom"/>
            <w:gridSpan w:val="5"/>
          </w:tcPr>
          <w:p>
            <w:pPr>
              <w:spacing w:after="0"/>
              <w:rPr>
                <w:sz w:val="22"/>
                <w:szCs w:val="22"/>
                <w:color w:val="auto"/>
              </w:rPr>
            </w:pPr>
          </w:p>
        </w:tc>
      </w:tr>
      <w:tr>
        <w:trPr>
          <w:trHeight w:val="26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80" w:type="dxa"/>
            <w:vAlign w:val="bottom"/>
          </w:tcPr>
          <w:p>
            <w:pPr>
              <w:spacing w:after="0"/>
              <w:rPr>
                <w:sz w:val="22"/>
                <w:szCs w:val="22"/>
                <w:color w:val="auto"/>
              </w:rPr>
            </w:pPr>
          </w:p>
        </w:tc>
        <w:tc>
          <w:tcPr>
            <w:tcW w:w="98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Section 1350 Certification (Principal Executive Officer and Principal Financial Officer).</w:t>
            </w:r>
          </w:p>
        </w:tc>
      </w:tr>
      <w:tr>
        <w:trPr>
          <w:trHeight w:val="20"/>
        </w:trPr>
        <w:tc>
          <w:tcPr>
            <w:tcW w:w="1280" w:type="dxa"/>
            <w:vAlign w:val="bottom"/>
            <w:gridSpan w:val="2"/>
          </w:tcPr>
          <w:p>
            <w:pPr>
              <w:spacing w:after="0" w:line="20" w:lineRule="exact"/>
              <w:rPr>
                <w:sz w:val="1"/>
                <w:szCs w:val="1"/>
                <w:color w:val="auto"/>
              </w:rPr>
            </w:pPr>
          </w:p>
        </w:tc>
        <w:tc>
          <w:tcPr>
            <w:tcW w:w="6360" w:type="dxa"/>
            <w:vAlign w:val="bottom"/>
            <w:gridSpan w:val="6"/>
            <w:shd w:val="clear" w:color="auto" w:fill="0000FF"/>
          </w:tcPr>
          <w:p>
            <w:pPr>
              <w:spacing w:after="0" w:line="20" w:lineRule="exact"/>
              <w:rPr>
                <w:sz w:val="1"/>
                <w:szCs w:val="1"/>
                <w:color w:val="auto"/>
              </w:rPr>
            </w:pPr>
          </w:p>
        </w:tc>
        <w:tc>
          <w:tcPr>
            <w:tcW w:w="3480" w:type="dxa"/>
            <w:vAlign w:val="bottom"/>
            <w:gridSpan w:val="4"/>
          </w:tcPr>
          <w:p>
            <w:pPr>
              <w:spacing w:after="0" w:line="20" w:lineRule="exact"/>
              <w:rPr>
                <w:sz w:val="1"/>
                <w:szCs w:val="1"/>
                <w:color w:val="auto"/>
              </w:rPr>
            </w:pPr>
          </w:p>
        </w:tc>
      </w:tr>
      <w:tr>
        <w:trPr>
          <w:trHeight w:val="259"/>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8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83"/>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8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3"/>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8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4"/>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8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83"/>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8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3"/>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8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49" w:lineRule="exact"/>
        <w:rPr>
          <w:sz w:val="20"/>
          <w:szCs w:val="20"/>
          <w:color w:val="auto"/>
        </w:rPr>
      </w:pPr>
    </w:p>
    <w:p>
      <w:pPr>
        <w:ind w:left="1300" w:right="260" w:hanging="1274"/>
        <w:spacing w:after="0" w:line="250"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 and contained in Exhibit 101</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04"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6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3"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283" w:lineRule="exact"/>
        <w:rPr>
          <w:sz w:val="20"/>
          <w:szCs w:val="20"/>
          <w:color w:val="auto"/>
        </w:rPr>
      </w:pPr>
    </w:p>
    <w:p>
      <w:pPr>
        <w:ind w:left="20"/>
        <w:spacing w:after="0"/>
        <w:tabs>
          <w:tab w:leader="none" w:pos="600" w:val="left"/>
          <w:tab w:leader="none" w:pos="6320" w:val="left"/>
          <w:tab w:leader="none" w:pos="8240" w:val="left"/>
          <w:tab w:leader="none" w:pos="8560" w:val="left"/>
        </w:tabs>
        <w:rPr>
          <w:sz w:val="20"/>
          <w:szCs w:val="20"/>
          <w:color w:val="auto"/>
        </w:rPr>
      </w:pPr>
      <w:r>
        <w:rPr>
          <w:rFonts w:ascii="Times New Roman" w:cs="Times New Roman" w:eastAsia="Times New Roman" w:hAnsi="Times New Roman"/>
          <w:sz w:val="18"/>
          <w:szCs w:val="18"/>
          <w:color w:val="auto"/>
        </w:rPr>
        <w:t>Date:</w:t>
        <w:tab/>
        <w:t>August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4"/>
          <w:szCs w:val="14"/>
          <w:color w:val="auto"/>
        </w:rPr>
        <w:t>/S/</w:t>
      </w:r>
      <w:r>
        <w:rPr>
          <w:sz w:val="20"/>
          <w:szCs w:val="20"/>
          <w:color w:val="auto"/>
        </w:rPr>
        <w:tab/>
      </w:r>
      <w:r>
        <w:rPr>
          <w:rFonts w:ascii="Times New Roman" w:cs="Times New Roman" w:eastAsia="Times New Roman" w:hAnsi="Times New Roman"/>
          <w:sz w:val="18"/>
          <w:szCs w:val="18"/>
          <w:color w:val="auto"/>
        </w:rPr>
        <w:t>J</w:t>
      </w:r>
      <w:r>
        <w:rPr>
          <w:rFonts w:ascii="Times New Roman" w:cs="Times New Roman" w:eastAsia="Times New Roman" w:hAnsi="Times New Roman"/>
          <w:sz w:val="14"/>
          <w:szCs w:val="14"/>
          <w:color w:val="auto"/>
        </w:rPr>
        <w:t>EAN</w:t>
      </w: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ARC</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26035</wp:posOffset>
            </wp:positionV>
            <wp:extent cx="273494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2734945" cy="8255"/>
                    </a:xfrm>
                    <a:prstGeom prst="rect">
                      <a:avLst/>
                    </a:prstGeom>
                    <a:noFill/>
                  </pic:spPr>
                </pic:pic>
              </a:graphicData>
            </a:graphic>
          </wp:anchor>
        </w:drawing>
      </w:r>
    </w:p>
    <w:p>
      <w:pPr>
        <w:spacing w:after="0" w:line="23"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4"/>
          <w:szCs w:val="14"/>
          <w:b w:val="1"/>
          <w:bCs w:val="1"/>
          <w:color w:val="auto"/>
        </w:rPr>
        <w:t>Jean-Marc Gilson</w:t>
      </w:r>
    </w:p>
    <w:p>
      <w:pPr>
        <w:spacing w:after="0" w:line="34"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ind w:left="83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286" w:lineRule="exact"/>
        <w:rPr>
          <w:sz w:val="20"/>
          <w:szCs w:val="20"/>
          <w:color w:val="auto"/>
        </w:rPr>
      </w:pPr>
    </w:p>
    <w:p>
      <w:pPr>
        <w:ind w:left="20"/>
        <w:spacing w:after="0"/>
        <w:tabs>
          <w:tab w:leader="none" w:pos="600" w:val="left"/>
          <w:tab w:leader="none" w:pos="6320" w:val="left"/>
          <w:tab w:leader="none" w:pos="8120" w:val="left"/>
          <w:tab w:leader="none" w:pos="8480" w:val="left"/>
        </w:tabs>
        <w:rPr>
          <w:sz w:val="20"/>
          <w:szCs w:val="20"/>
          <w:color w:val="auto"/>
        </w:rPr>
      </w:pPr>
      <w:r>
        <w:rPr>
          <w:rFonts w:ascii="Times New Roman" w:cs="Times New Roman" w:eastAsia="Times New Roman" w:hAnsi="Times New Roman"/>
          <w:sz w:val="18"/>
          <w:szCs w:val="18"/>
          <w:color w:val="auto"/>
        </w:rPr>
        <w:t>Date:</w:t>
        <w:tab/>
        <w:t>August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26035</wp:posOffset>
            </wp:positionV>
            <wp:extent cx="273494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2734945" cy="8255"/>
                    </a:xfrm>
                    <a:prstGeom prst="rect">
                      <a:avLst/>
                    </a:prstGeom>
                    <a:noFill/>
                  </pic:spPr>
                </pic:pic>
              </a:graphicData>
            </a:graphic>
          </wp:anchor>
        </w:drawing>
      </w:r>
    </w:p>
    <w:p>
      <w:pPr>
        <w:spacing w:after="0" w:line="23"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b w:val="1"/>
          <w:bCs w:val="1"/>
          <w:color w:val="auto"/>
        </w:rPr>
        <w:t>M. Steven Bender</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p>
      <w:pPr>
        <w:ind w:left="83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800"/>
          </w:cols>
          <w:pgMar w:left="320" w:top="118" w:right="77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Jean-Marc Gilson, certify that:</w:t>
      </w:r>
    </w:p>
    <w:p>
      <w:pPr>
        <w:spacing w:after="0" w:line="144" w:lineRule="exact"/>
        <w:rPr>
          <w:sz w:val="20"/>
          <w:szCs w:val="20"/>
          <w:color w:val="auto"/>
        </w:rPr>
      </w:pPr>
    </w:p>
    <w:p>
      <w:pPr>
        <w:ind w:left="680" w:hanging="654"/>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Westlake Corporation (the "registrant");</w:t>
      </w:r>
    </w:p>
    <w:p>
      <w:pPr>
        <w:spacing w:after="0" w:line="130" w:lineRule="exact"/>
        <w:rPr>
          <w:rFonts w:ascii="Times New Roman" w:cs="Times New Roman" w:eastAsia="Times New Roman" w:hAnsi="Times New Roman"/>
          <w:sz w:val="18"/>
          <w:szCs w:val="18"/>
          <w:color w:val="auto"/>
        </w:rPr>
      </w:pPr>
    </w:p>
    <w:p>
      <w:pPr>
        <w:jc w:val="both"/>
        <w:ind w:left="680" w:right="100" w:hanging="654"/>
        <w:spacing w:after="0" w:line="231"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Times New Roman" w:cs="Times New Roman" w:eastAsia="Times New Roman" w:hAnsi="Times New Roman"/>
          <w:sz w:val="18"/>
          <w:szCs w:val="18"/>
          <w:color w:val="auto"/>
        </w:rPr>
      </w:pPr>
    </w:p>
    <w:p>
      <w:pPr>
        <w:ind w:left="680" w:right="60" w:hanging="654"/>
        <w:spacing w:after="0" w:line="237"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680" w:right="100" w:hanging="654"/>
        <w:spacing w:after="0" w:line="231"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2" w:lineRule="exact"/>
        <w:rPr>
          <w:rFonts w:ascii="Times New Roman" w:cs="Times New Roman" w:eastAsia="Times New Roman" w:hAnsi="Times New Roman"/>
          <w:sz w:val="18"/>
          <w:szCs w:val="18"/>
          <w:color w:val="auto"/>
        </w:rPr>
      </w:pPr>
    </w:p>
    <w:p>
      <w:pPr>
        <w:ind w:left="1340" w:right="100" w:hanging="666"/>
        <w:spacing w:after="0" w:line="226" w:lineRule="auto"/>
        <w:tabs>
          <w:tab w:leader="none" w:pos="13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ind w:left="1340" w:right="140" w:hanging="666"/>
        <w:spacing w:after="0" w:line="231" w:lineRule="auto"/>
        <w:tabs>
          <w:tab w:leader="none" w:pos="13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Times New Roman" w:cs="Times New Roman" w:eastAsia="Times New Roman" w:hAnsi="Times New Roman"/>
          <w:sz w:val="18"/>
          <w:szCs w:val="18"/>
          <w:color w:val="auto"/>
        </w:rPr>
      </w:pPr>
    </w:p>
    <w:p>
      <w:pPr>
        <w:ind w:left="1340" w:right="180" w:hanging="666"/>
        <w:spacing w:after="0" w:line="263" w:lineRule="auto"/>
        <w:tabs>
          <w:tab w:leader="none" w:pos="134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Times New Roman" w:cs="Times New Roman" w:eastAsia="Times New Roman" w:hAnsi="Times New Roman"/>
          <w:sz w:val="17"/>
          <w:szCs w:val="17"/>
          <w:color w:val="auto"/>
        </w:rPr>
      </w:pPr>
    </w:p>
    <w:p>
      <w:pPr>
        <w:ind w:left="1340" w:right="260" w:hanging="666"/>
        <w:spacing w:after="0" w:line="231" w:lineRule="auto"/>
        <w:tabs>
          <w:tab w:leader="none" w:pos="13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18"/>
          <w:szCs w:val="18"/>
          <w:color w:val="auto"/>
        </w:rPr>
      </w:pPr>
    </w:p>
    <w:p>
      <w:pPr>
        <w:ind w:left="680" w:right="260" w:hanging="654"/>
        <w:spacing w:after="0" w:line="237"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1340" w:right="480" w:hanging="666"/>
        <w:spacing w:after="0" w:line="250" w:lineRule="auto"/>
        <w:tabs>
          <w:tab w:leader="none" w:pos="13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Times New Roman" w:cs="Times New Roman" w:eastAsia="Times New Roman" w:hAnsi="Times New Roman"/>
          <w:sz w:val="18"/>
          <w:szCs w:val="18"/>
          <w:color w:val="auto"/>
        </w:rPr>
      </w:pPr>
    </w:p>
    <w:p>
      <w:pPr>
        <w:ind w:left="1340" w:right="180" w:hanging="666"/>
        <w:spacing w:after="0" w:line="237" w:lineRule="auto"/>
        <w:tabs>
          <w:tab w:leader="none" w:pos="13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660" w:val="left"/>
          <w:tab w:leader="none" w:pos="8200" w:val="left"/>
          <w:tab w:leader="none" w:pos="8520" w:val="left"/>
        </w:tabs>
        <w:rPr>
          <w:sz w:val="20"/>
          <w:szCs w:val="20"/>
          <w:color w:val="auto"/>
        </w:rPr>
      </w:pPr>
      <w:r>
        <w:rPr>
          <w:rFonts w:ascii="Times New Roman" w:cs="Times New Roman" w:eastAsia="Times New Roman" w:hAnsi="Times New Roman"/>
          <w:sz w:val="18"/>
          <w:szCs w:val="18"/>
          <w:color w:val="auto"/>
        </w:rPr>
        <w:t>Date:</w:t>
        <w:tab/>
        <w:t>August 9, 2024</w:t>
      </w:r>
      <w:r>
        <w:rPr>
          <w:sz w:val="20"/>
          <w:szCs w:val="20"/>
          <w:color w:val="auto"/>
        </w:rPr>
        <w:tab/>
      </w:r>
      <w:r>
        <w:rPr>
          <w:rFonts w:ascii="Times New Roman" w:cs="Times New Roman" w:eastAsia="Times New Roman" w:hAnsi="Times New Roman"/>
          <w:sz w:val="14"/>
          <w:szCs w:val="14"/>
          <w:color w:val="auto"/>
        </w:rPr>
        <w:t>/S/</w:t>
      </w:r>
      <w:r>
        <w:rPr>
          <w:sz w:val="20"/>
          <w:szCs w:val="20"/>
          <w:color w:val="auto"/>
        </w:rPr>
        <w:tab/>
      </w:r>
      <w:r>
        <w:rPr>
          <w:rFonts w:ascii="Times New Roman" w:cs="Times New Roman" w:eastAsia="Times New Roman" w:hAnsi="Times New Roman"/>
          <w:sz w:val="18"/>
          <w:szCs w:val="18"/>
          <w:color w:val="auto"/>
        </w:rPr>
        <w:t>J</w:t>
      </w:r>
      <w:r>
        <w:rPr>
          <w:rFonts w:ascii="Times New Roman" w:cs="Times New Roman" w:eastAsia="Times New Roman" w:hAnsi="Times New Roman"/>
          <w:sz w:val="14"/>
          <w:szCs w:val="14"/>
          <w:color w:val="auto"/>
        </w:rPr>
        <w:t>EAN</w:t>
      </w: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ARC</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26035</wp:posOffset>
            </wp:positionV>
            <wp:extent cx="27946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3"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4"/>
          <w:szCs w:val="14"/>
          <w:b w:val="1"/>
          <w:bCs w:val="1"/>
          <w:color w:val="auto"/>
        </w:rPr>
        <w:t>Jean-Marc Gilson</w:t>
      </w:r>
    </w:p>
    <w:p>
      <w:pPr>
        <w:spacing w:after="0" w:line="42"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6"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240"/>
          </w:cols>
          <w:pgMar w:left="320" w:top="88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 Steven Bender, certify that:</w:t>
      </w:r>
    </w:p>
    <w:p>
      <w:pPr>
        <w:spacing w:after="0" w:line="144" w:lineRule="exact"/>
        <w:rPr>
          <w:sz w:val="20"/>
          <w:szCs w:val="20"/>
          <w:color w:val="auto"/>
        </w:rPr>
      </w:pPr>
    </w:p>
    <w:p>
      <w:pPr>
        <w:ind w:left="680" w:hanging="654"/>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Westlake Corporation (the "registrant");</w:t>
      </w:r>
    </w:p>
    <w:p>
      <w:pPr>
        <w:spacing w:after="0" w:line="130" w:lineRule="exact"/>
        <w:rPr>
          <w:rFonts w:ascii="Times New Roman" w:cs="Times New Roman" w:eastAsia="Times New Roman" w:hAnsi="Times New Roman"/>
          <w:sz w:val="18"/>
          <w:szCs w:val="18"/>
          <w:color w:val="auto"/>
        </w:rPr>
      </w:pPr>
    </w:p>
    <w:p>
      <w:pPr>
        <w:jc w:val="both"/>
        <w:ind w:left="680" w:right="100" w:hanging="654"/>
        <w:spacing w:after="0" w:line="231"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Times New Roman" w:cs="Times New Roman" w:eastAsia="Times New Roman" w:hAnsi="Times New Roman"/>
          <w:sz w:val="18"/>
          <w:szCs w:val="18"/>
          <w:color w:val="auto"/>
        </w:rPr>
      </w:pPr>
    </w:p>
    <w:p>
      <w:pPr>
        <w:ind w:left="680" w:right="60" w:hanging="654"/>
        <w:spacing w:after="0" w:line="237"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680" w:right="100" w:hanging="654"/>
        <w:spacing w:after="0" w:line="231"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2" w:lineRule="exact"/>
        <w:rPr>
          <w:rFonts w:ascii="Times New Roman" w:cs="Times New Roman" w:eastAsia="Times New Roman" w:hAnsi="Times New Roman"/>
          <w:sz w:val="18"/>
          <w:szCs w:val="18"/>
          <w:color w:val="auto"/>
        </w:rPr>
      </w:pPr>
    </w:p>
    <w:p>
      <w:pPr>
        <w:ind w:left="1340" w:right="100" w:hanging="666"/>
        <w:spacing w:after="0" w:line="226" w:lineRule="auto"/>
        <w:tabs>
          <w:tab w:leader="none" w:pos="13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ind w:left="1340" w:right="140" w:hanging="666"/>
        <w:spacing w:after="0" w:line="231" w:lineRule="auto"/>
        <w:tabs>
          <w:tab w:leader="none" w:pos="13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Times New Roman" w:cs="Times New Roman" w:eastAsia="Times New Roman" w:hAnsi="Times New Roman"/>
          <w:sz w:val="18"/>
          <w:szCs w:val="18"/>
          <w:color w:val="auto"/>
        </w:rPr>
      </w:pPr>
    </w:p>
    <w:p>
      <w:pPr>
        <w:ind w:left="1340" w:right="180" w:hanging="666"/>
        <w:spacing w:after="0" w:line="263" w:lineRule="auto"/>
        <w:tabs>
          <w:tab w:leader="none" w:pos="134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Times New Roman" w:cs="Times New Roman" w:eastAsia="Times New Roman" w:hAnsi="Times New Roman"/>
          <w:sz w:val="17"/>
          <w:szCs w:val="17"/>
          <w:color w:val="auto"/>
        </w:rPr>
      </w:pPr>
    </w:p>
    <w:p>
      <w:pPr>
        <w:ind w:left="1340" w:right="260" w:hanging="666"/>
        <w:spacing w:after="0" w:line="231" w:lineRule="auto"/>
        <w:tabs>
          <w:tab w:leader="none" w:pos="13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18"/>
          <w:szCs w:val="18"/>
          <w:color w:val="auto"/>
        </w:rPr>
      </w:pPr>
    </w:p>
    <w:p>
      <w:pPr>
        <w:ind w:left="680" w:right="260" w:hanging="654"/>
        <w:spacing w:after="0" w:line="237"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1340" w:right="480" w:hanging="666"/>
        <w:spacing w:after="0" w:line="250" w:lineRule="auto"/>
        <w:tabs>
          <w:tab w:leader="none" w:pos="13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Times New Roman" w:cs="Times New Roman" w:eastAsia="Times New Roman" w:hAnsi="Times New Roman"/>
          <w:sz w:val="18"/>
          <w:szCs w:val="18"/>
          <w:color w:val="auto"/>
        </w:rPr>
      </w:pPr>
    </w:p>
    <w:p>
      <w:pPr>
        <w:ind w:left="1340" w:right="180" w:hanging="666"/>
        <w:spacing w:after="0" w:line="237" w:lineRule="auto"/>
        <w:tabs>
          <w:tab w:leader="none" w:pos="13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5" w:lineRule="exact"/>
        <w:rPr>
          <w:sz w:val="20"/>
          <w:szCs w:val="20"/>
          <w:color w:val="auto"/>
        </w:rPr>
      </w:pPr>
    </w:p>
    <w:p>
      <w:pPr>
        <w:ind w:left="20"/>
        <w:spacing w:after="0"/>
        <w:tabs>
          <w:tab w:leader="none" w:pos="600" w:val="left"/>
          <w:tab w:leader="none" w:pos="8220" w:val="left"/>
        </w:tabs>
        <w:rPr>
          <w:sz w:val="20"/>
          <w:szCs w:val="20"/>
          <w:color w:val="auto"/>
        </w:rPr>
      </w:pPr>
      <w:r>
        <w:rPr>
          <w:rFonts w:ascii="Times New Roman" w:cs="Times New Roman" w:eastAsia="Times New Roman" w:hAnsi="Times New Roman"/>
          <w:sz w:val="18"/>
          <w:szCs w:val="18"/>
          <w:color w:val="auto"/>
        </w:rPr>
        <w:t>Date:</w:t>
        <w:tab/>
        <w:t>August 9, 2024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M. Steven Bender</w:t>
      </w:r>
    </w:p>
    <w:p>
      <w:pPr>
        <w:spacing w:after="0" w:line="34"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p>
      <w:pPr>
        <w:ind w:left="82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ectPr>
          <w:pgSz w:w="11900" w:h="16838" w:orient="portrait"/>
          <w:cols w:equalWidth="0" w:num="1">
            <w:col w:w="11240"/>
          </w:cols>
          <w:pgMar w:left="320" w:top="88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Westlake Corporation (the "Company") on Form 10-Q for the fiscal quarter ended June 30, 2024 as filed with the Securities and Exchange Commission on the date hereof (the "Report"), I, Jean-Marc Gilson, President and Chief Executive Officer of the Company, and I, M. Steven Bender, Executive Vice President and Chief Financial Officer of the Company, certify, to the best of our knowledge, pursuant to 18 U.S.C. §1350, as adopted pursuant to §906 of the Sarbanes-Oxley Act of 2002, that:</w:t>
      </w:r>
    </w:p>
    <w:p>
      <w:pPr>
        <w:spacing w:after="0" w:line="72" w:lineRule="exact"/>
        <w:rPr>
          <w:sz w:val="20"/>
          <w:szCs w:val="20"/>
          <w:color w:val="auto"/>
        </w:rPr>
      </w:pPr>
    </w:p>
    <w:p>
      <w:pPr>
        <w:ind w:left="560" w:hanging="309"/>
        <w:spacing w:after="0"/>
        <w:tabs>
          <w:tab w:leader="none" w:pos="5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aspects, the financial condition and results of operations of the Company.</w:t>
      </w: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600" w:val="left"/>
          <w:tab w:leader="none" w:pos="8160" w:val="left"/>
          <w:tab w:leader="none" w:pos="8500" w:val="left"/>
        </w:tabs>
        <w:rPr>
          <w:sz w:val="20"/>
          <w:szCs w:val="20"/>
          <w:color w:val="auto"/>
        </w:rPr>
      </w:pPr>
      <w:r>
        <w:rPr>
          <w:rFonts w:ascii="Times New Roman" w:cs="Times New Roman" w:eastAsia="Times New Roman" w:hAnsi="Times New Roman"/>
          <w:sz w:val="18"/>
          <w:szCs w:val="18"/>
          <w:color w:val="auto"/>
        </w:rPr>
        <w:t>Date:</w:t>
        <w:tab/>
        <w:t>August 9, 2024</w:t>
      </w:r>
      <w:r>
        <w:rPr>
          <w:sz w:val="20"/>
          <w:szCs w:val="20"/>
          <w:color w:val="auto"/>
        </w:rPr>
        <w:tab/>
      </w:r>
      <w:r>
        <w:rPr>
          <w:rFonts w:ascii="Times New Roman" w:cs="Times New Roman" w:eastAsia="Times New Roman" w:hAnsi="Times New Roman"/>
          <w:sz w:val="14"/>
          <w:szCs w:val="14"/>
          <w:color w:val="auto"/>
        </w:rPr>
        <w:t>/S/</w:t>
      </w:r>
      <w:r>
        <w:rPr>
          <w:sz w:val="20"/>
          <w:szCs w:val="20"/>
          <w:color w:val="auto"/>
        </w:rPr>
        <w:tab/>
      </w:r>
      <w:r>
        <w:rPr>
          <w:rFonts w:ascii="Times New Roman" w:cs="Times New Roman" w:eastAsia="Times New Roman" w:hAnsi="Times New Roman"/>
          <w:sz w:val="18"/>
          <w:szCs w:val="18"/>
          <w:color w:val="auto"/>
        </w:rPr>
        <w:t>J</w:t>
      </w:r>
      <w:r>
        <w:rPr>
          <w:rFonts w:ascii="Times New Roman" w:cs="Times New Roman" w:eastAsia="Times New Roman" w:hAnsi="Times New Roman"/>
          <w:sz w:val="14"/>
          <w:szCs w:val="14"/>
          <w:color w:val="auto"/>
        </w:rPr>
        <w:t>EAN</w:t>
      </w: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ARC</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2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Jean-Marc Gilson</w:t>
      </w:r>
    </w:p>
    <w:p>
      <w:pPr>
        <w:spacing w:after="0" w:line="34"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ind w:left="820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340" w:lineRule="exact"/>
        <w:rPr>
          <w:sz w:val="20"/>
          <w:szCs w:val="20"/>
          <w:color w:val="auto"/>
        </w:rPr>
      </w:pPr>
    </w:p>
    <w:p>
      <w:pPr>
        <w:ind w:left="20"/>
        <w:spacing w:after="0"/>
        <w:tabs>
          <w:tab w:leader="none" w:pos="600" w:val="left"/>
          <w:tab w:leader="none" w:pos="8020" w:val="left"/>
          <w:tab w:leader="none" w:pos="8360" w:val="left"/>
        </w:tabs>
        <w:rPr>
          <w:sz w:val="20"/>
          <w:szCs w:val="20"/>
          <w:color w:val="auto"/>
        </w:rPr>
      </w:pPr>
      <w:r>
        <w:rPr>
          <w:rFonts w:ascii="Times New Roman" w:cs="Times New Roman" w:eastAsia="Times New Roman" w:hAnsi="Times New Roman"/>
          <w:sz w:val="18"/>
          <w:szCs w:val="18"/>
          <w:color w:val="auto"/>
        </w:rPr>
        <w:t>Date:</w:t>
        <w:tab/>
        <w:t>August 9, 2024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M. Steven Bender</w:t>
      </w:r>
    </w:p>
    <w:p>
      <w:pPr>
        <w:spacing w:after="0" w:line="34"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p>
      <w:pPr>
        <w:ind w:left="82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2"/>
    </w:lvl>
  </w:abstractNum>
  <w:abstractNum w:abstractNumId="3">
    <w:nsid w:val="4DB127F8"/>
    <w:multiLevelType w:val="hybridMultilevel"/>
    <w:lvl w:ilvl="0">
      <w:lvlJc w:val="left"/>
      <w:lvlText w:val="%1."/>
      <w:numFmt w:val="decimal"/>
      <w:start w:val="11"/>
    </w:lvl>
  </w:abstractNum>
  <w:abstractNum w:abstractNumId="4">
    <w:nsid w:val="216231B"/>
    <w:multiLevelType w:val="hybridMultilevel"/>
    <w:lvl w:ilvl="0">
      <w:lvlJc w:val="left"/>
      <w:lvlText w:val="%1."/>
      <w:numFmt w:val="decimal"/>
      <w:start w:val="12"/>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5"/>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04"/>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59" Type="http://schemas.openxmlformats.org/officeDocument/2006/relationships/hyperlink" Target="https://www.sec.gov/Archives/edgar/data/1262823/000126282324000014/exhibit3112312310-k.htm" TargetMode="External"/><Relationship Id="rId60" Type="http://schemas.openxmlformats.org/officeDocument/2006/relationships/hyperlink" Target="https://www.sec.gov/Archives/edgar/data/0001262823/000119312522046627/d27005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2024-08-09T11:37:22Z</dcterms:created>
  <dcterms:modified xsi:type="dcterms:W3CDTF">2024-08-09T11:37:22Z</dcterms:modified>
</cp:coreProperties>
</file>