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5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8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0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5, 2026</w:t>
      </w:r>
    </w:p>
    <w:p>
      <w:pPr>
        <w:spacing w:after="0" w:line="26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Westlake Corporation</w:t>
      </w:r>
    </w:p>
    <w:p>
      <w:pPr>
        <w:spacing w:after="0" w:line="4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87" w:lineRule="exact"/>
        <w:rPr>
          <w:sz w:val="24"/>
          <w:szCs w:val="24"/>
          <w:color w:val="auto"/>
        </w:rPr>
      </w:pPr>
    </w:p>
    <w:tbl>
      <w:tblPr>
        <w:tblLayout w:type="fixed"/>
        <w:tblInd w:w="1020" w:type="dxa"/>
        <w:tblCellMar>
          <w:top w:w="0" w:type="dxa"/>
          <w:left w:w="0" w:type="dxa"/>
          <w:bottom w:w="0" w:type="dxa"/>
          <w:right w:w="0" w:type="dxa"/>
        </w:tblCellMar>
      </w:tblPr>
      <w:tr>
        <w:trPr>
          <w:trHeight w:val="151"/>
        </w:trPr>
        <w:tc>
          <w:tcPr>
            <w:tcW w:w="2240" w:type="dxa"/>
            <w:vAlign w:val="bottom"/>
          </w:tcPr>
          <w:p>
            <w:pPr>
              <w:jc w:val="center"/>
              <w:ind w:right="606"/>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4940" w:type="dxa"/>
            <w:vAlign w:val="bottom"/>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w w:val="99"/>
              </w:rPr>
              <w:t>001-32260</w:t>
            </w:r>
          </w:p>
        </w:tc>
        <w:tc>
          <w:tcPr>
            <w:tcW w:w="1600" w:type="dxa"/>
            <w:vAlign w:val="bottom"/>
          </w:tcPr>
          <w:p>
            <w:pPr>
              <w:jc w:val="right"/>
              <w:ind w:right="47"/>
              <w:spacing w:after="0"/>
              <w:rPr>
                <w:sz w:val="20"/>
                <w:szCs w:val="20"/>
                <w:color w:val="auto"/>
              </w:rPr>
            </w:pPr>
            <w:r>
              <w:rPr>
                <w:rFonts w:ascii="Times New Roman" w:cs="Times New Roman" w:eastAsia="Times New Roman" w:hAnsi="Times New Roman"/>
                <w:sz w:val="12"/>
                <w:szCs w:val="12"/>
                <w:b w:val="1"/>
                <w:bCs w:val="1"/>
                <w:color w:val="auto"/>
              </w:rPr>
              <w:t>76-0346924</w:t>
            </w:r>
          </w:p>
        </w:tc>
      </w:tr>
      <w:tr>
        <w:trPr>
          <w:trHeight w:val="99"/>
        </w:trPr>
        <w:tc>
          <w:tcPr>
            <w:tcW w:w="2240" w:type="dxa"/>
            <w:vAlign w:val="bottom"/>
          </w:tcPr>
          <w:p>
            <w:pPr>
              <w:jc w:val="center"/>
              <w:ind w:right="606"/>
              <w:spacing w:after="0" w:line="99" w:lineRule="exact"/>
              <w:rPr>
                <w:sz w:val="20"/>
                <w:szCs w:val="20"/>
                <w:color w:val="auto"/>
              </w:rPr>
            </w:pPr>
            <w:r>
              <w:rPr>
                <w:rFonts w:ascii="Times New Roman" w:cs="Times New Roman" w:eastAsia="Times New Roman" w:hAnsi="Times New Roman"/>
                <w:sz w:val="10"/>
                <w:szCs w:val="10"/>
                <w:b w:val="1"/>
                <w:bCs w:val="1"/>
                <w:color w:val="auto"/>
                <w:w w:val="96"/>
              </w:rPr>
              <w:t>(State or other jurisdiction</w:t>
            </w:r>
          </w:p>
        </w:tc>
        <w:tc>
          <w:tcPr>
            <w:tcW w:w="4940" w:type="dxa"/>
            <w:vAlign w:val="bottom"/>
          </w:tcPr>
          <w:p>
            <w:pPr>
              <w:jc w:val="center"/>
              <w:ind w:right="182"/>
              <w:spacing w:after="0" w:line="99" w:lineRule="exact"/>
              <w:rPr>
                <w:sz w:val="20"/>
                <w:szCs w:val="20"/>
                <w:color w:val="auto"/>
              </w:rPr>
            </w:pPr>
            <w:r>
              <w:rPr>
                <w:rFonts w:ascii="Times New Roman" w:cs="Times New Roman" w:eastAsia="Times New Roman" w:hAnsi="Times New Roman"/>
                <w:sz w:val="10"/>
                <w:szCs w:val="10"/>
                <w:b w:val="1"/>
                <w:bCs w:val="1"/>
                <w:color w:val="auto"/>
                <w:w w:val="94"/>
              </w:rPr>
              <w:t>(Commission File Number)</w:t>
            </w:r>
          </w:p>
        </w:tc>
        <w:tc>
          <w:tcPr>
            <w:tcW w:w="1600" w:type="dxa"/>
            <w:vAlign w:val="bottom"/>
          </w:tcPr>
          <w:p>
            <w:pPr>
              <w:jc w:val="center"/>
              <w:ind w:left="787"/>
              <w:spacing w:after="0" w:line="99" w:lineRule="exact"/>
              <w:rPr>
                <w:sz w:val="20"/>
                <w:szCs w:val="20"/>
                <w:color w:val="auto"/>
              </w:rPr>
            </w:pPr>
            <w:r>
              <w:rPr>
                <w:rFonts w:ascii="Times New Roman" w:cs="Times New Roman" w:eastAsia="Times New Roman" w:hAnsi="Times New Roman"/>
                <w:sz w:val="10"/>
                <w:szCs w:val="10"/>
                <w:b w:val="1"/>
                <w:bCs w:val="1"/>
                <w:color w:val="auto"/>
                <w:w w:val="94"/>
              </w:rPr>
              <w:t>(I.R.S. Employer</w:t>
            </w:r>
          </w:p>
        </w:tc>
      </w:tr>
      <w:tr>
        <w:trPr>
          <w:trHeight w:val="125"/>
        </w:trPr>
        <w:tc>
          <w:tcPr>
            <w:tcW w:w="2240" w:type="dxa"/>
            <w:vAlign w:val="bottom"/>
          </w:tcPr>
          <w:p>
            <w:pPr>
              <w:jc w:val="center"/>
              <w:ind w:right="606"/>
              <w:spacing w:after="0"/>
              <w:rPr>
                <w:sz w:val="20"/>
                <w:szCs w:val="20"/>
                <w:color w:val="auto"/>
              </w:rPr>
            </w:pPr>
            <w:r>
              <w:rPr>
                <w:rFonts w:ascii="Times New Roman" w:cs="Times New Roman" w:eastAsia="Times New Roman" w:hAnsi="Times New Roman"/>
                <w:sz w:val="10"/>
                <w:szCs w:val="10"/>
                <w:b w:val="1"/>
                <w:bCs w:val="1"/>
                <w:color w:val="auto"/>
                <w:w w:val="95"/>
              </w:rPr>
              <w:t>of incorporation)</w:t>
            </w:r>
          </w:p>
        </w:tc>
        <w:tc>
          <w:tcPr>
            <w:tcW w:w="4940" w:type="dxa"/>
            <w:vAlign w:val="bottom"/>
          </w:tcPr>
          <w:p>
            <w:pPr>
              <w:spacing w:after="0"/>
              <w:rPr>
                <w:sz w:val="10"/>
                <w:szCs w:val="10"/>
                <w:color w:val="auto"/>
              </w:rPr>
            </w:pPr>
          </w:p>
        </w:tc>
        <w:tc>
          <w:tcPr>
            <w:tcW w:w="1600" w:type="dxa"/>
            <w:vAlign w:val="bottom"/>
          </w:tcPr>
          <w:p>
            <w:pPr>
              <w:jc w:val="center"/>
              <w:ind w:left="787"/>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r>
        <w:trPr>
          <w:trHeight w:val="452"/>
        </w:trPr>
        <w:tc>
          <w:tcPr>
            <w:tcW w:w="2240" w:type="dxa"/>
            <w:vAlign w:val="bottom"/>
          </w:tcPr>
          <w:p>
            <w:pPr>
              <w:jc w:val="center"/>
              <w:ind w:right="606"/>
              <w:spacing w:after="0"/>
              <w:rPr>
                <w:sz w:val="20"/>
                <w:szCs w:val="20"/>
                <w:color w:val="auto"/>
              </w:rPr>
            </w:pPr>
            <w:r>
              <w:rPr>
                <w:rFonts w:ascii="Times New Roman" w:cs="Times New Roman" w:eastAsia="Times New Roman" w:hAnsi="Times New Roman"/>
                <w:sz w:val="12"/>
                <w:szCs w:val="12"/>
                <w:b w:val="1"/>
                <w:bCs w:val="1"/>
                <w:color w:val="auto"/>
              </w:rPr>
              <w:t>2801 Post Oak Boulevard,</w:t>
            </w:r>
          </w:p>
        </w:tc>
        <w:tc>
          <w:tcPr>
            <w:tcW w:w="4940" w:type="dxa"/>
            <w:vAlign w:val="bottom"/>
          </w:tcPr>
          <w:p>
            <w:pPr>
              <w:ind w:left="2140"/>
              <w:spacing w:after="0"/>
              <w:rPr>
                <w:sz w:val="20"/>
                <w:szCs w:val="20"/>
                <w:color w:val="auto"/>
              </w:rPr>
            </w:pPr>
            <w:r>
              <w:rPr>
                <w:rFonts w:ascii="Times New Roman" w:cs="Times New Roman" w:eastAsia="Times New Roman" w:hAnsi="Times New Roman"/>
                <w:sz w:val="12"/>
                <w:szCs w:val="12"/>
                <w:b w:val="1"/>
                <w:bCs w:val="1"/>
                <w:color w:val="auto"/>
              </w:rPr>
              <w:t>Suite 600</w:t>
            </w:r>
          </w:p>
        </w:tc>
        <w:tc>
          <w:tcPr>
            <w:tcW w:w="1600" w:type="dxa"/>
            <w:vAlign w:val="bottom"/>
          </w:tcPr>
          <w:p>
            <w:pPr>
              <w:spacing w:after="0"/>
              <w:rPr>
                <w:sz w:val="24"/>
                <w:szCs w:val="24"/>
                <w:color w:val="auto"/>
              </w:rPr>
            </w:pPr>
          </w:p>
        </w:tc>
      </w:tr>
      <w:tr>
        <w:trPr>
          <w:trHeight w:val="151"/>
        </w:trPr>
        <w:tc>
          <w:tcPr>
            <w:tcW w:w="2240" w:type="dxa"/>
            <w:vAlign w:val="bottom"/>
          </w:tcPr>
          <w:p>
            <w:pPr>
              <w:jc w:val="center"/>
              <w:ind w:right="606"/>
              <w:spacing w:after="0"/>
              <w:rPr>
                <w:sz w:val="20"/>
                <w:szCs w:val="20"/>
                <w:color w:val="auto"/>
              </w:rPr>
            </w:pPr>
            <w:r>
              <w:rPr>
                <w:rFonts w:ascii="Times New Roman" w:cs="Times New Roman" w:eastAsia="Times New Roman" w:hAnsi="Times New Roman"/>
                <w:sz w:val="12"/>
                <w:szCs w:val="12"/>
                <w:b w:val="1"/>
                <w:bCs w:val="1"/>
                <w:color w:val="auto"/>
                <w:w w:val="99"/>
              </w:rPr>
              <w:t>Houston,</w:t>
            </w:r>
          </w:p>
        </w:tc>
        <w:tc>
          <w:tcPr>
            <w:tcW w:w="4940" w:type="dxa"/>
            <w:vAlign w:val="bottom"/>
          </w:tcPr>
          <w:p>
            <w:pPr>
              <w:jc w:val="center"/>
              <w:ind w:right="182"/>
              <w:spacing w:after="0"/>
              <w:rPr>
                <w:sz w:val="20"/>
                <w:szCs w:val="20"/>
                <w:color w:val="auto"/>
              </w:rPr>
            </w:pPr>
            <w:r>
              <w:rPr>
                <w:rFonts w:ascii="Times New Roman" w:cs="Times New Roman" w:eastAsia="Times New Roman" w:hAnsi="Times New Roman"/>
                <w:sz w:val="12"/>
                <w:szCs w:val="12"/>
                <w:b w:val="1"/>
                <w:bCs w:val="1"/>
                <w:color w:val="auto"/>
                <w:w w:val="99"/>
              </w:rPr>
              <w:t>Texas</w:t>
            </w:r>
          </w:p>
        </w:tc>
        <w:tc>
          <w:tcPr>
            <w:tcW w:w="1600" w:type="dxa"/>
            <w:vAlign w:val="bottom"/>
          </w:tcPr>
          <w:p>
            <w:pPr>
              <w:jc w:val="right"/>
              <w:ind w:right="187"/>
              <w:spacing w:after="0"/>
              <w:rPr>
                <w:sz w:val="20"/>
                <w:szCs w:val="20"/>
                <w:color w:val="auto"/>
              </w:rPr>
            </w:pPr>
            <w:r>
              <w:rPr>
                <w:rFonts w:ascii="Times New Roman" w:cs="Times New Roman" w:eastAsia="Times New Roman" w:hAnsi="Times New Roman"/>
                <w:sz w:val="12"/>
                <w:szCs w:val="12"/>
                <w:b w:val="1"/>
                <w:bCs w:val="1"/>
                <w:color w:val="auto"/>
              </w:rPr>
              <w:t>77056</w:t>
            </w:r>
          </w:p>
        </w:tc>
      </w:tr>
      <w:tr>
        <w:trPr>
          <w:trHeight w:val="125"/>
        </w:trPr>
        <w:tc>
          <w:tcPr>
            <w:tcW w:w="2240" w:type="dxa"/>
            <w:vAlign w:val="bottom"/>
          </w:tcPr>
          <w:p>
            <w:pPr>
              <w:jc w:val="center"/>
              <w:ind w:right="606"/>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w:t>
            </w:r>
          </w:p>
        </w:tc>
        <w:tc>
          <w:tcPr>
            <w:tcW w:w="4940" w:type="dxa"/>
            <w:vAlign w:val="bottom"/>
          </w:tcPr>
          <w:p>
            <w:pPr>
              <w:spacing w:after="0"/>
              <w:rPr>
                <w:sz w:val="10"/>
                <w:szCs w:val="10"/>
                <w:color w:val="auto"/>
              </w:rPr>
            </w:pPr>
          </w:p>
        </w:tc>
        <w:tc>
          <w:tcPr>
            <w:tcW w:w="1600" w:type="dxa"/>
            <w:vAlign w:val="bottom"/>
          </w:tcPr>
          <w:p>
            <w:pPr>
              <w:jc w:val="center"/>
              <w:ind w:left="787"/>
              <w:spacing w:after="0"/>
              <w:rPr>
                <w:sz w:val="20"/>
                <w:szCs w:val="20"/>
                <w:color w:val="auto"/>
              </w:rPr>
            </w:pPr>
            <w:r>
              <w:rPr>
                <w:rFonts w:ascii="Times New Roman" w:cs="Times New Roman" w:eastAsia="Times New Roman" w:hAnsi="Times New Roman"/>
                <w:sz w:val="10"/>
                <w:szCs w:val="10"/>
                <w:b w:val="1"/>
                <w:bCs w:val="1"/>
                <w:color w:val="auto"/>
                <w:w w:val="94"/>
              </w:rPr>
              <w:t>(Zip Code)</w:t>
            </w:r>
          </w:p>
        </w:tc>
      </w:tr>
      <w:tr>
        <w:trPr>
          <w:trHeight w:val="332"/>
        </w:trPr>
        <w:tc>
          <w:tcPr>
            <w:tcW w:w="2240" w:type="dxa"/>
            <w:vAlign w:val="bottom"/>
          </w:tcPr>
          <w:p>
            <w:pPr>
              <w:spacing w:after="0"/>
              <w:rPr>
                <w:sz w:val="24"/>
                <w:szCs w:val="24"/>
                <w:color w:val="auto"/>
              </w:rPr>
            </w:pPr>
          </w:p>
        </w:tc>
        <w:tc>
          <w:tcPr>
            <w:tcW w:w="4940" w:type="dxa"/>
            <w:vAlign w:val="bottom"/>
          </w:tcPr>
          <w:p>
            <w:pPr>
              <w:ind w:left="660"/>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(713) 960-9111</w:t>
            </w:r>
          </w:p>
        </w:tc>
        <w:tc>
          <w:tcPr>
            <w:tcW w:w="1600" w:type="dxa"/>
            <w:vAlign w:val="bottom"/>
          </w:tcPr>
          <w:p>
            <w:pPr>
              <w:spacing w:after="0"/>
              <w:rPr>
                <w:sz w:val="24"/>
                <w:szCs w:val="24"/>
                <w:color w:val="auto"/>
              </w:rPr>
            </w:pPr>
          </w:p>
        </w:tc>
      </w:tr>
    </w:tbl>
    <w:p>
      <w:pPr>
        <w:spacing w:after="0" w:line="25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249"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27" w:lineRule="exact"/>
        <w:rPr>
          <w:rFonts w:ascii="MS PGothic" w:cs="MS PGothic" w:eastAsia="MS PGothic" w:hAnsi="MS PGothic"/>
          <w:sz w:val="12"/>
          <w:szCs w:val="12"/>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 w:lineRule="exact"/>
        <w:rPr>
          <w:rFonts w:ascii="MS PGothic" w:cs="MS PGothic" w:eastAsia="MS PGothic" w:hAnsi="MS PGothic"/>
          <w:sz w:val="12"/>
          <w:szCs w:val="12"/>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 w:lineRule="exact"/>
        <w:rPr>
          <w:rFonts w:ascii="MS PGothic" w:cs="MS PGothic" w:eastAsia="MS PGothic" w:hAnsi="MS PGothic"/>
          <w:sz w:val="12"/>
          <w:szCs w:val="12"/>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78" w:lineRule="exact"/>
        <w:rPr>
          <w:sz w:val="24"/>
          <w:szCs w:val="24"/>
          <w:color w:val="auto"/>
        </w:rPr>
      </w:pPr>
    </w:p>
    <w:tbl>
      <w:tblPr>
        <w:tblLayout w:type="fixed"/>
        <w:tblInd w:w="110" w:type="dxa"/>
        <w:tblCellMar>
          <w:top w:w="0" w:type="dxa"/>
          <w:left w:w="0" w:type="dxa"/>
          <w:bottom w:w="0" w:type="dxa"/>
          <w:right w:w="0" w:type="dxa"/>
        </w:tblCellMar>
      </w:tblPr>
      <w:tr>
        <w:trPr>
          <w:trHeight w:val="162"/>
        </w:trPr>
        <w:tc>
          <w:tcPr>
            <w:tcW w:w="32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44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42"/>
        </w:trPr>
        <w:tc>
          <w:tcPr>
            <w:tcW w:w="3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$0.01 par value</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WLK</w:t>
            </w:r>
          </w:p>
        </w:tc>
        <w:tc>
          <w:tcPr>
            <w:tcW w:w="4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New York Stock Exchange</w:t>
            </w:r>
          </w:p>
        </w:tc>
      </w:tr>
      <w:tr>
        <w:trPr>
          <w:trHeight w:val="142"/>
        </w:trPr>
        <w:tc>
          <w:tcPr>
            <w:tcW w:w="3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1.625% Senior Notes due 2029</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WLK29</w:t>
            </w:r>
          </w:p>
        </w:tc>
        <w:tc>
          <w:tcPr>
            <w:tcW w:w="4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New York Stock Exchange</w:t>
            </w:r>
          </w:p>
        </w:tc>
      </w:tr>
    </w:tbl>
    <w:p>
      <w:pPr>
        <w:spacing w:after="0" w:line="205" w:lineRule="exact"/>
        <w:rPr>
          <w:sz w:val="24"/>
          <w:szCs w:val="24"/>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387350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738" w:right="419" w:bottom="1440" w:gutter="0" w:footer="0" w:header="0"/>
        </w:sectPr>
      </w:pPr>
    </w:p>
    <w:bookmarkStart w:id="1" w:name="page2"/>
    <w:bookmarkEnd w:id="1"/>
    <w:p>
      <w:pPr>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690880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274955</wp:posOffset>
            </wp:positionV>
            <wp:extent cx="71666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292100</wp:posOffset>
            </wp:positionV>
            <wp:extent cx="71666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ectPr>
          <w:pgSz w:w="11900" w:h="16838" w:orient="portrait"/>
          <w:cols w:equalWidth="0" w:num="1">
            <w:col w:w="11280"/>
          </w:cols>
          <w:pgMar w:left="300" w:top="642"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 xml:space="preserve">On May 5, 2026, Westlake Corporation (the "Company"), issued a press release announcing its 2026 </w:t>
      </w:r>
      <w:r>
        <w:rPr>
          <w:rFonts w:ascii="Times New Roman" w:cs="Times New Roman" w:eastAsia="Times New Roman" w:hAnsi="Times New Roman"/>
          <w:sz w:val="10"/>
          <w:szCs w:val="10"/>
          <w:color w:val="auto"/>
        </w:rPr>
        <w:t>first quarter</w:t>
      </w:r>
      <w:r>
        <w:rPr>
          <w:rFonts w:ascii="Times New Roman" w:cs="Times New Roman" w:eastAsia="Times New Roman" w:hAnsi="Times New Roman"/>
          <w:sz w:val="12"/>
          <w:szCs w:val="12"/>
          <w:color w:val="auto"/>
        </w:rPr>
        <w:t xml:space="preserve"> results. A copy of the press release is furnished with this Current Report as Exhibit 99.1.</w:t>
      </w:r>
    </w:p>
    <w:p>
      <w:pPr>
        <w:spacing w:after="0" w:line="114"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The information furnished pursuant to this Current Report, including Exhibit 99.1, shall not be deemed to be "filed" for the purposes of Section 18 of the Securities Exchange Act of 1934, as amended, and will not be incorporated by reference into any registration statement filed by Westlake Corporation under the Securities Act of 1933, as amended, unless specifically identified as being incorporated therein.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73" w:lineRule="exact"/>
        <w:rPr>
          <w:sz w:val="20"/>
          <w:szCs w:val="20"/>
          <w:color w:val="auto"/>
        </w:rPr>
      </w:pPr>
    </w:p>
    <w:p>
      <w:pPr>
        <w:ind w:right="200" w:firstLine="324"/>
        <w:spacing w:after="0" w:line="279" w:lineRule="auto"/>
        <w:rPr>
          <w:sz w:val="20"/>
          <w:szCs w:val="20"/>
          <w:color w:val="auto"/>
        </w:rPr>
      </w:pPr>
      <w:r>
        <w:rPr>
          <w:rFonts w:ascii="Times New Roman" w:cs="Times New Roman" w:eastAsia="Times New Roman" w:hAnsi="Times New Roman"/>
          <w:sz w:val="12"/>
          <w:szCs w:val="12"/>
          <w:color w:val="auto"/>
        </w:rPr>
        <w:t>The Company is holding a conference call on May 5, 2026 to discuss its 2026 first quarter results. Information about the call can be found in the press release furnished with this Current Report as Exhibit 99.1. In addition, the Company made available an investor presentation regarding its 2026 first quarter results, which is furnished with this Current Report as Exhibit 99.2.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(d) Exhibits</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following exhibits are furnished herewith:</w:t>
      </w:r>
    </w:p>
    <w:p>
      <w:pPr>
        <w:spacing w:after="0" w:line="69" w:lineRule="exact"/>
        <w:rPr>
          <w:sz w:val="20"/>
          <w:szCs w:val="20"/>
          <w:color w:val="auto"/>
        </w:rPr>
      </w:pPr>
    </w:p>
    <w:p>
      <w:pPr>
        <w:ind w:left="320"/>
        <w:spacing w:after="0"/>
        <w:tabs>
          <w:tab w:leader="none" w:pos="620" w:val="left"/>
        </w:tabs>
        <w:rPr>
          <w:sz w:val="20"/>
          <w:szCs w:val="20"/>
          <w:color w:val="auto"/>
        </w:rPr>
      </w:pPr>
      <w:r>
        <w:rPr>
          <w:rFonts w:ascii="Times New Roman" w:cs="Times New Roman" w:eastAsia="Times New Roman" w:hAnsi="Times New Roman"/>
          <w:sz w:val="12"/>
          <w:szCs w:val="12"/>
          <w:color w:val="auto"/>
        </w:rPr>
        <w:t>99.1</w:t>
      </w:r>
      <w:r>
        <w:rPr>
          <w:sz w:val="20"/>
          <w:szCs w:val="20"/>
          <w:color w:val="auto"/>
        </w:rPr>
        <w:tab/>
      </w:r>
      <w:r>
        <w:rPr>
          <w:rFonts w:ascii="Times New Roman" w:cs="Times New Roman" w:eastAsia="Times New Roman" w:hAnsi="Times New Roman"/>
          <w:sz w:val="12"/>
          <w:szCs w:val="12"/>
          <w:u w:val="single" w:color="auto"/>
          <w:color w:val="0000FF"/>
        </w:rPr>
        <w:t>Press release issued on May 5, 2026.</w:t>
      </w:r>
    </w:p>
    <w:p>
      <w:pPr>
        <w:spacing w:after="0" w:line="69" w:lineRule="exact"/>
        <w:rPr>
          <w:sz w:val="20"/>
          <w:szCs w:val="20"/>
          <w:color w:val="auto"/>
        </w:rPr>
      </w:pPr>
    </w:p>
    <w:p>
      <w:pPr>
        <w:ind w:left="320"/>
        <w:spacing w:after="0"/>
        <w:tabs>
          <w:tab w:leader="none" w:pos="620" w:val="left"/>
        </w:tabs>
        <w:rPr>
          <w:sz w:val="20"/>
          <w:szCs w:val="20"/>
          <w:color w:val="auto"/>
        </w:rPr>
      </w:pPr>
      <w:r>
        <w:rPr>
          <w:rFonts w:ascii="Times New Roman" w:cs="Times New Roman" w:eastAsia="Times New Roman" w:hAnsi="Times New Roman"/>
          <w:sz w:val="12"/>
          <w:szCs w:val="12"/>
          <w:color w:val="auto"/>
        </w:rPr>
        <w:t>99.2</w:t>
      </w:r>
      <w:r>
        <w:rPr>
          <w:sz w:val="20"/>
          <w:szCs w:val="20"/>
          <w:color w:val="auto"/>
        </w:rPr>
        <w:tab/>
      </w:r>
      <w:r>
        <w:rPr>
          <w:rFonts w:ascii="Times New Roman" w:cs="Times New Roman" w:eastAsia="Times New Roman" w:hAnsi="Times New Roman"/>
          <w:sz w:val="12"/>
          <w:szCs w:val="12"/>
          <w:u w:val="single" w:color="auto"/>
          <w:color w:val="0000FF"/>
        </w:rPr>
        <w:t>Investor Presentation.</w:t>
      </w:r>
    </w:p>
    <w:p>
      <w:pPr>
        <w:spacing w:after="0" w:line="60" w:lineRule="exact"/>
        <w:rPr>
          <w:sz w:val="20"/>
          <w:szCs w:val="20"/>
          <w:color w:val="auto"/>
        </w:rPr>
      </w:pPr>
    </w:p>
    <w:p>
      <w:pPr>
        <w:ind w:left="320"/>
        <w:spacing w:after="0"/>
        <w:tabs>
          <w:tab w:leader="none" w:pos="600"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1"/>
          <w:szCs w:val="11"/>
          <w:color w:val="auto"/>
        </w:rPr>
        <w:t>The 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369570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63" w:right="299" w:bottom="1440" w:gutter="0" w:footer="0" w:header="0"/>
        </w:sectPr>
      </w:pPr>
    </w:p>
    <w:bookmarkStart w:id="3" w:name="page4"/>
    <w:bookmarkEnd w:id="3"/>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54"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2"/>
          <w:szCs w:val="12"/>
          <w:b w:val="1"/>
          <w:bCs w:val="1"/>
          <w:color w:val="auto"/>
        </w:rPr>
        <w:t>WESTLAKE CORPORATION</w:t>
      </w:r>
    </w:p>
    <w:p>
      <w:pPr>
        <w:spacing w:after="0" w:line="21" w:lineRule="exact"/>
        <w:rPr>
          <w:sz w:val="20"/>
          <w:szCs w:val="20"/>
          <w:color w:val="auto"/>
        </w:rPr>
      </w:pPr>
    </w:p>
    <w:p>
      <w:pPr>
        <w:spacing w:after="0"/>
        <w:tabs>
          <w:tab w:leader="none" w:pos="840" w:val="left"/>
          <w:tab w:leader="none" w:pos="6620" w:val="left"/>
          <w:tab w:leader="none" w:pos="8460"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May 5, 2026</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J</w:t>
      </w:r>
      <w:r>
        <w:rPr>
          <w:rFonts w:ascii="Times New Roman" w:cs="Times New Roman" w:eastAsia="Times New Roman" w:hAnsi="Times New Roman"/>
          <w:sz w:val="9"/>
          <w:szCs w:val="9"/>
          <w:color w:val="auto"/>
        </w:rPr>
        <w:t>EAN</w:t>
      </w:r>
      <w:r>
        <w:rPr>
          <w:rFonts w:ascii="Times New Roman" w:cs="Times New Roman" w:eastAsia="Times New Roman" w:hAnsi="Times New Roman"/>
          <w:sz w:val="11"/>
          <w:szCs w:val="11"/>
          <w:color w:val="auto"/>
        </w:rPr>
        <w:t>-M</w:t>
      </w:r>
      <w:r>
        <w:rPr>
          <w:rFonts w:ascii="Times New Roman" w:cs="Times New Roman" w:eastAsia="Times New Roman" w:hAnsi="Times New Roman"/>
          <w:sz w:val="9"/>
          <w:szCs w:val="9"/>
          <w:color w:val="auto"/>
        </w:rPr>
        <w:t>ARC</w:t>
      </w:r>
      <w:r>
        <w:rPr>
          <w:rFonts w:ascii="Times New Roman" w:cs="Times New Roman" w:eastAsia="Times New Roman" w:hAnsi="Times New Roman"/>
          <w:sz w:val="11"/>
          <w:szCs w:val="11"/>
          <w:color w:val="auto"/>
        </w:rPr>
        <w:t xml:space="preserve"> G</w:t>
      </w:r>
      <w:r>
        <w:rPr>
          <w:rFonts w:ascii="Times New Roman" w:cs="Times New Roman" w:eastAsia="Times New Roman" w:hAnsi="Times New Roman"/>
          <w:sz w:val="9"/>
          <w:szCs w:val="9"/>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15240</wp:posOffset>
            </wp:positionV>
            <wp:extent cx="282892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8925" cy="5715"/>
                    </a:xfrm>
                    <a:prstGeom prst="rect">
                      <a:avLst/>
                    </a:prstGeom>
                    <a:noFill/>
                  </pic:spPr>
                </pic:pic>
              </a:graphicData>
            </a:graphic>
          </wp:anchor>
        </w:drawing>
      </w:r>
    </w:p>
    <w:p>
      <w:pPr>
        <w:spacing w:after="0" w:line="6"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1"/>
          <w:szCs w:val="11"/>
          <w:b w:val="1"/>
          <w:bCs w:val="1"/>
          <w:color w:val="auto"/>
        </w:rPr>
        <w:t>Jean-Marc Gilson</w:t>
      </w:r>
    </w:p>
    <w:p>
      <w:pPr>
        <w:jc w:val="center"/>
        <w:ind w:left="6800"/>
        <w:spacing w:after="0"/>
        <w:rPr>
          <w:sz w:val="20"/>
          <w:szCs w:val="20"/>
          <w:color w:val="auto"/>
        </w:rPr>
      </w:pPr>
      <w:r>
        <w:rPr>
          <w:rFonts w:ascii="Times New Roman" w:cs="Times New Roman" w:eastAsia="Times New Roman" w:hAnsi="Times New Roman"/>
          <w:sz w:val="10"/>
          <w:szCs w:val="10"/>
          <w:b w:val="1"/>
          <w:bCs w:val="1"/>
          <w:color w:val="auto"/>
        </w:rPr>
        <w:t>President, Chief Executive Officer and Director</w:t>
      </w:r>
    </w:p>
    <w:p>
      <w:pPr>
        <w:sectPr>
          <w:pgSz w:w="11900" w:h="16838" w:orient="portrait"/>
          <w:cols w:equalWidth="0" w:num="1">
            <w:col w:w="10159"/>
          </w:cols>
          <w:pgMar w:left="300" w:top="908"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WESTLAKE CORPORATION</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Contact—(713) 960-9111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Investors—Steve Bender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Media—L. Benjamin Ederington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140970</wp:posOffset>
            </wp:positionV>
            <wp:extent cx="710374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3745" cy="571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Westlake Corporation Reports First Quarter 2026 Results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HOUSTON--(BUSINESS WIRE)--Westlake Corporation (NYSE: WLK) (the "Company" or "Westlake") today announced first quarter 2026 results.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SUMMARY FINANCIAL HIGHLIGHTS (in millions of dollars, except per share data and percentages)</w:t>
      </w:r>
    </w:p>
    <w:p>
      <w:pPr>
        <w:spacing w:after="0" w:line="104" w:lineRule="exact"/>
        <w:rPr>
          <w:sz w:val="20"/>
          <w:szCs w:val="20"/>
          <w:color w:val="auto"/>
        </w:rPr>
      </w:pPr>
    </w:p>
    <w:tbl>
      <w:tblPr>
        <w:tblLayout w:type="fixed"/>
        <w:tblInd w:w="200" w:type="dxa"/>
        <w:tblCellMar>
          <w:top w:w="0" w:type="dxa"/>
          <w:left w:w="0" w:type="dxa"/>
          <w:bottom w:w="0" w:type="dxa"/>
          <w:right w:w="0" w:type="dxa"/>
        </w:tblCellMar>
      </w:tblPr>
      <w:tr>
        <w:trPr>
          <w:trHeight w:val="115"/>
        </w:trPr>
        <w:tc>
          <w:tcPr>
            <w:tcW w:w="6500" w:type="dxa"/>
            <w:vAlign w:val="bottom"/>
          </w:tcPr>
          <w:p>
            <w:pPr>
              <w:spacing w:after="0"/>
              <w:rPr>
                <w:sz w:val="10"/>
                <w:szCs w:val="10"/>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Three Months Ended December</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w w:val="95"/>
              </w:rPr>
              <w:t>Three Months Ended March 31,</w:t>
            </w:r>
          </w:p>
        </w:tc>
      </w:tr>
      <w:tr>
        <w:trPr>
          <w:trHeight w:val="125"/>
        </w:trPr>
        <w:tc>
          <w:tcPr>
            <w:tcW w:w="650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0"/>
                <w:szCs w:val="10"/>
                <w:b w:val="1"/>
                <w:bCs w:val="1"/>
                <w:color w:val="auto"/>
              </w:rPr>
              <w:t>31, 2025</w:t>
            </w:r>
          </w:p>
        </w:tc>
        <w:tc>
          <w:tcPr>
            <w:tcW w:w="10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179"/>
        </w:trPr>
        <w:tc>
          <w:tcPr>
            <w:tcW w:w="65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Westlake Corporation</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53"/>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sales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2,652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2,533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2,846</w:t>
            </w:r>
          </w:p>
        </w:tc>
      </w:tr>
      <w:tr>
        <w:trPr>
          <w:trHeight w:val="153"/>
        </w:trPr>
        <w:tc>
          <w:tcPr>
            <w:tcW w:w="65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Loss from operations</w:t>
            </w:r>
          </w:p>
        </w:tc>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(172)</w:t>
            </w:r>
          </w:p>
        </w:tc>
        <w:tc>
          <w:tcPr>
            <w:tcW w:w="10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(671)</w:t>
            </w:r>
          </w:p>
        </w:tc>
        <w:tc>
          <w:tcPr>
            <w:tcW w:w="10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(32)</w:t>
            </w:r>
          </w:p>
        </w:tc>
      </w:tr>
      <w:tr>
        <w:trPr>
          <w:trHeight w:val="153"/>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loss attributable to Westlake Corporation</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(169)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(544)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(40)</w:t>
            </w:r>
          </w:p>
        </w:tc>
      </w:tr>
      <w:tr>
        <w:trPr>
          <w:trHeight w:val="153"/>
        </w:trPr>
        <w:tc>
          <w:tcPr>
            <w:tcW w:w="65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Diluted loss per common share</w:t>
            </w:r>
          </w:p>
        </w:tc>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(1.31)</w:t>
            </w:r>
          </w:p>
        </w:tc>
        <w:tc>
          <w:tcPr>
            <w:tcW w:w="10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(4.22)</w:t>
            </w:r>
          </w:p>
        </w:tc>
        <w:tc>
          <w:tcPr>
            <w:tcW w:w="10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(0.31)</w:t>
            </w:r>
          </w:p>
        </w:tc>
      </w:tr>
      <w:tr>
        <w:trPr>
          <w:trHeight w:val="153"/>
        </w:trPr>
        <w:tc>
          <w:tcPr>
            <w:tcW w:w="6500" w:type="dxa"/>
            <w:vAlign w:val="bottom"/>
            <w:shd w:val="clear" w:color="auto" w:fill="CCEEFF"/>
          </w:tcPr>
          <w:p>
            <w:pPr>
              <w:ind w:left="240"/>
              <w:spacing w:after="0" w:line="153" w:lineRule="exact"/>
              <w:rPr>
                <w:sz w:val="20"/>
                <w:szCs w:val="20"/>
                <w:color w:val="auto"/>
              </w:rPr>
            </w:pPr>
            <w:r>
              <w:rPr>
                <w:rFonts w:ascii="Times New Roman" w:cs="Times New Roman" w:eastAsia="Times New Roman" w:hAnsi="Times New Roman"/>
                <w:sz w:val="12"/>
                <w:szCs w:val="12"/>
                <w:color w:val="auto"/>
              </w:rPr>
              <w:t xml:space="preserve">Identified Items </w:t>
            </w:r>
            <w:r>
              <w:rPr>
                <w:rFonts w:ascii="Times New Roman" w:cs="Times New Roman" w:eastAsia="Times New Roman" w:hAnsi="Times New Roman"/>
                <w:sz w:val="15"/>
                <w:szCs w:val="15"/>
                <w:color w:val="auto"/>
                <w:vertAlign w:val="superscript"/>
              </w:rPr>
              <w:t>(1)</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85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511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7</w:t>
            </w:r>
          </w:p>
        </w:tc>
      </w:tr>
      <w:tr>
        <w:trPr>
          <w:trHeight w:val="153"/>
        </w:trPr>
        <w:tc>
          <w:tcPr>
            <w:tcW w:w="65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Net loss attributable to Westlake Corporation excl. Identified Items</w:t>
            </w:r>
          </w:p>
        </w:tc>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(100)</w:t>
            </w:r>
          </w:p>
        </w:tc>
        <w:tc>
          <w:tcPr>
            <w:tcW w:w="10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(131)</w:t>
            </w:r>
          </w:p>
        </w:tc>
        <w:tc>
          <w:tcPr>
            <w:tcW w:w="10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(33)</w:t>
            </w:r>
          </w:p>
        </w:tc>
      </w:tr>
      <w:tr>
        <w:trPr>
          <w:trHeight w:val="153"/>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Diluted loss per common share excl. Identified Items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(0.77)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(1.02)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(0.26)</w:t>
            </w:r>
          </w:p>
        </w:tc>
      </w:tr>
      <w:tr>
        <w:trPr>
          <w:trHeight w:val="153"/>
        </w:trPr>
        <w:tc>
          <w:tcPr>
            <w:tcW w:w="65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EBITDA</w:t>
            </w:r>
          </w:p>
        </w:tc>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150</w:t>
            </w:r>
          </w:p>
        </w:tc>
        <w:tc>
          <w:tcPr>
            <w:tcW w:w="10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(315)</w:t>
            </w:r>
          </w:p>
        </w:tc>
        <w:tc>
          <w:tcPr>
            <w:tcW w:w="10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288</w:t>
            </w:r>
          </w:p>
        </w:tc>
      </w:tr>
      <w:tr>
        <w:trPr>
          <w:trHeight w:val="153"/>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EBITDA excl. Identified Items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235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196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295</w:t>
            </w:r>
          </w:p>
        </w:tc>
      </w:tr>
      <w:tr>
        <w:trPr>
          <w:trHeight w:val="183"/>
        </w:trPr>
        <w:tc>
          <w:tcPr>
            <w:tcW w:w="65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 xml:space="preserve">EBITDA margin </w:t>
            </w:r>
            <w:r>
              <w:rPr>
                <w:rFonts w:ascii="Times New Roman" w:cs="Times New Roman" w:eastAsia="Times New Roman" w:hAnsi="Times New Roman"/>
                <w:sz w:val="15"/>
                <w:szCs w:val="15"/>
                <w:color w:val="auto"/>
                <w:vertAlign w:val="superscript"/>
              </w:rPr>
              <w:t>(2)</w:t>
            </w:r>
          </w:p>
        </w:tc>
        <w:tc>
          <w:tcPr>
            <w:tcW w:w="32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10%</w:t>
            </w:r>
          </w:p>
        </w:tc>
      </w:tr>
      <w:tr>
        <w:trPr>
          <w:trHeight w:val="159"/>
        </w:trPr>
        <w:tc>
          <w:tcPr>
            <w:tcW w:w="65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Housing and Infrastructure Products ("HIP") Segment</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3"/>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sales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993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901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996</w:t>
            </w:r>
          </w:p>
        </w:tc>
      </w:tr>
      <w:tr>
        <w:trPr>
          <w:trHeight w:val="153"/>
        </w:trPr>
        <w:tc>
          <w:tcPr>
            <w:tcW w:w="65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Income from operations</w:t>
            </w:r>
          </w:p>
        </w:tc>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66</w:t>
            </w:r>
          </w:p>
        </w:tc>
        <w:tc>
          <w:tcPr>
            <w:tcW w:w="10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148</w:t>
            </w:r>
          </w:p>
        </w:tc>
      </w:tr>
      <w:tr>
        <w:trPr>
          <w:trHeight w:val="153"/>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EBITDA</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118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130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203</w:t>
            </w:r>
          </w:p>
        </w:tc>
      </w:tr>
      <w:tr>
        <w:trPr>
          <w:trHeight w:val="153"/>
        </w:trPr>
        <w:tc>
          <w:tcPr>
            <w:tcW w:w="6500" w:type="dxa"/>
            <w:vAlign w:val="bottom"/>
          </w:tcPr>
          <w:p>
            <w:pPr>
              <w:ind w:left="240"/>
              <w:spacing w:after="0" w:line="153" w:lineRule="exact"/>
              <w:rPr>
                <w:sz w:val="20"/>
                <w:szCs w:val="20"/>
                <w:color w:val="auto"/>
              </w:rPr>
            </w:pPr>
            <w:r>
              <w:rPr>
                <w:rFonts w:ascii="Times New Roman" w:cs="Times New Roman" w:eastAsia="Times New Roman" w:hAnsi="Times New Roman"/>
                <w:sz w:val="12"/>
                <w:szCs w:val="12"/>
                <w:color w:val="auto"/>
              </w:rPr>
              <w:t xml:space="preserve">Identified Items </w:t>
            </w:r>
            <w:r>
              <w:rPr>
                <w:rFonts w:ascii="Times New Roman" w:cs="Times New Roman" w:eastAsia="Times New Roman" w:hAnsi="Times New Roman"/>
                <w:sz w:val="15"/>
                <w:szCs w:val="15"/>
                <w:color w:val="auto"/>
                <w:vertAlign w:val="superscript"/>
              </w:rPr>
              <w:t>(1)</w:t>
            </w:r>
          </w:p>
        </w:tc>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68</w:t>
            </w:r>
          </w:p>
        </w:tc>
        <w:tc>
          <w:tcPr>
            <w:tcW w:w="10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EBITDA excl. Identified Items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186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146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203</w:t>
            </w:r>
          </w:p>
        </w:tc>
      </w:tr>
      <w:tr>
        <w:trPr>
          <w:trHeight w:val="183"/>
        </w:trPr>
        <w:tc>
          <w:tcPr>
            <w:tcW w:w="65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 xml:space="preserve">EBITDA margin </w:t>
            </w:r>
            <w:r>
              <w:rPr>
                <w:rFonts w:ascii="Times New Roman" w:cs="Times New Roman" w:eastAsia="Times New Roman" w:hAnsi="Times New Roman"/>
                <w:sz w:val="15"/>
                <w:szCs w:val="15"/>
                <w:color w:val="auto"/>
                <w:vertAlign w:val="superscript"/>
              </w:rPr>
              <w:t>(2)</w:t>
            </w:r>
          </w:p>
        </w:tc>
        <w:tc>
          <w:tcPr>
            <w:tcW w:w="32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20%</w:t>
            </w:r>
          </w:p>
        </w:tc>
      </w:tr>
      <w:tr>
        <w:trPr>
          <w:trHeight w:val="159"/>
        </w:trPr>
        <w:tc>
          <w:tcPr>
            <w:tcW w:w="65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Performance and Essential Materials ("PEM") Segment</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3"/>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sales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1,659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1,632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1,850</w:t>
            </w:r>
          </w:p>
        </w:tc>
      </w:tr>
      <w:tr>
        <w:trPr>
          <w:trHeight w:val="153"/>
        </w:trPr>
        <w:tc>
          <w:tcPr>
            <w:tcW w:w="65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Loss from operations</w:t>
            </w:r>
          </w:p>
        </w:tc>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(211)</w:t>
            </w:r>
          </w:p>
        </w:tc>
        <w:tc>
          <w:tcPr>
            <w:tcW w:w="10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(717)</w:t>
            </w:r>
          </w:p>
        </w:tc>
        <w:tc>
          <w:tcPr>
            <w:tcW w:w="10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(163)</w:t>
            </w:r>
          </w:p>
        </w:tc>
      </w:tr>
      <w:tr>
        <w:trPr>
          <w:trHeight w:val="153"/>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EBITDA</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(450)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73</w:t>
            </w:r>
          </w:p>
        </w:tc>
      </w:tr>
      <w:tr>
        <w:trPr>
          <w:trHeight w:val="153"/>
        </w:trPr>
        <w:tc>
          <w:tcPr>
            <w:tcW w:w="6500" w:type="dxa"/>
            <w:vAlign w:val="bottom"/>
          </w:tcPr>
          <w:p>
            <w:pPr>
              <w:ind w:left="240"/>
              <w:spacing w:after="0" w:line="153" w:lineRule="exact"/>
              <w:rPr>
                <w:sz w:val="20"/>
                <w:szCs w:val="20"/>
                <w:color w:val="auto"/>
              </w:rPr>
            </w:pPr>
            <w:r>
              <w:rPr>
                <w:rFonts w:ascii="Times New Roman" w:cs="Times New Roman" w:eastAsia="Times New Roman" w:hAnsi="Times New Roman"/>
                <w:sz w:val="12"/>
                <w:szCs w:val="12"/>
                <w:color w:val="auto"/>
              </w:rPr>
              <w:t xml:space="preserve">Identified Items </w:t>
            </w:r>
            <w:r>
              <w:rPr>
                <w:rFonts w:ascii="Times New Roman" w:cs="Times New Roman" w:eastAsia="Times New Roman" w:hAnsi="Times New Roman"/>
                <w:sz w:val="15"/>
                <w:szCs w:val="15"/>
                <w:color w:val="auto"/>
                <w:vertAlign w:val="superscript"/>
              </w:rPr>
              <w:t>(1)</w:t>
            </w:r>
          </w:p>
        </w:tc>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495</w:t>
            </w:r>
          </w:p>
        </w:tc>
        <w:tc>
          <w:tcPr>
            <w:tcW w:w="10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7</w:t>
            </w:r>
          </w:p>
        </w:tc>
      </w:tr>
      <w:tr>
        <w:trPr>
          <w:trHeight w:val="153"/>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EBITDA excl. Identified Items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36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45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80</w:t>
            </w:r>
          </w:p>
        </w:tc>
      </w:tr>
      <w:tr>
        <w:trPr>
          <w:trHeight w:val="204"/>
        </w:trPr>
        <w:tc>
          <w:tcPr>
            <w:tcW w:w="65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 xml:space="preserve">EBITDA margin </w:t>
            </w:r>
            <w:r>
              <w:rPr>
                <w:rFonts w:ascii="Times New Roman" w:cs="Times New Roman" w:eastAsia="Times New Roman" w:hAnsi="Times New Roman"/>
                <w:sz w:val="15"/>
                <w:szCs w:val="15"/>
                <w:color w:val="auto"/>
                <w:vertAlign w:val="superscript"/>
              </w:rPr>
              <w:t>(2)</w:t>
            </w:r>
          </w:p>
        </w:tc>
        <w:tc>
          <w:tcPr>
            <w:tcW w:w="320" w:type="dxa"/>
            <w:vAlign w:val="bottom"/>
          </w:tcPr>
          <w:p>
            <w:pPr>
              <w:spacing w:after="0"/>
              <w:rPr>
                <w:sz w:val="17"/>
                <w:szCs w:val="17"/>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4%</w:t>
            </w:r>
          </w:p>
        </w:tc>
      </w:tr>
    </w:tbl>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w:t>
      </w:r>
    </w:p>
    <w:p>
      <w:pPr>
        <w:sectPr>
          <w:pgSz w:w="11900" w:h="16838" w:orient="portrait"/>
          <w:cols w:equalWidth="0" w:num="1">
            <w:col w:w="11300"/>
          </w:cols>
          <w:pgMar w:left="300" w:top="638" w:right="299" w:bottom="1440" w:gutter="0" w:footer="0" w:header="0"/>
        </w:sectPr>
      </w:pPr>
    </w:p>
    <w:bookmarkStart w:id="5" w:name="page6"/>
    <w:bookmarkEnd w:id="5"/>
    <w:p>
      <w:pPr>
        <w:ind w:left="8"/>
        <w:spacing w:after="0"/>
        <w:rPr>
          <w:sz w:val="20"/>
          <w:szCs w:val="20"/>
          <w:color w:val="auto"/>
        </w:rPr>
      </w:pPr>
      <w:r>
        <w:rPr>
          <w:rFonts w:ascii="Times New Roman" w:cs="Times New Roman" w:eastAsia="Times New Roman" w:hAnsi="Times New Roman"/>
          <w:sz w:val="7"/>
          <w:szCs w:val="7"/>
          <w:color w:val="auto"/>
        </w:rPr>
        <w:t>______________________________</w:t>
      </w:r>
    </w:p>
    <w:p>
      <w:pPr>
        <w:spacing w:after="0" w:line="44" w:lineRule="exact"/>
        <w:rPr>
          <w:sz w:val="20"/>
          <w:szCs w:val="20"/>
          <w:color w:val="auto"/>
        </w:rPr>
      </w:pPr>
    </w:p>
    <w:p>
      <w:pPr>
        <w:ind w:left="268" w:right="60" w:hanging="268"/>
        <w:spacing w:after="0" w:line="265" w:lineRule="auto"/>
        <w:tabs>
          <w:tab w:leader="none" w:pos="264"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three months ended March 31, 2026, Identified Items include a $67 million charge to settle certain litigation involving direct purchasers of PVC pipe and fittings and $18 million of charges related to previously announced facility shutdowns. For the three months ended December 31, 2025, Identified Items include $495 million of PEM shutdown charges and $16 million for HIP restructuring charges. For the three months ended March 31, 2025, Identified Items represent $7 million of charges related to previously announced facility shutdowns.</w:t>
      </w:r>
    </w:p>
    <w:p>
      <w:pPr>
        <w:spacing w:after="0" w:line="10" w:lineRule="exact"/>
        <w:rPr>
          <w:rFonts w:ascii="Times New Roman" w:cs="Times New Roman" w:eastAsia="Times New Roman" w:hAnsi="Times New Roman"/>
          <w:sz w:val="12"/>
          <w:szCs w:val="12"/>
          <w:color w:val="auto"/>
        </w:rPr>
      </w:pPr>
    </w:p>
    <w:p>
      <w:pPr>
        <w:ind w:left="268" w:hanging="268"/>
        <w:spacing w:after="0"/>
        <w:tabs>
          <w:tab w:leader="none" w:pos="26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Excludes Identified Items.</w:t>
      </w:r>
    </w:p>
    <w:p>
      <w:pPr>
        <w:spacing w:after="0" w:line="2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BUSINESS HIGHLIGHTS</w:t>
      </w:r>
    </w:p>
    <w:p>
      <w:pPr>
        <w:spacing w:after="0" w:line="145" w:lineRule="exact"/>
        <w:rPr>
          <w:sz w:val="20"/>
          <w:szCs w:val="20"/>
          <w:color w:val="auto"/>
        </w:rPr>
      </w:pPr>
    </w:p>
    <w:p>
      <w:pPr>
        <w:ind w:left="8" w:right="40"/>
        <w:spacing w:after="0" w:line="260" w:lineRule="auto"/>
        <w:rPr>
          <w:sz w:val="20"/>
          <w:szCs w:val="20"/>
          <w:color w:val="auto"/>
        </w:rPr>
      </w:pPr>
      <w:r>
        <w:rPr>
          <w:rFonts w:ascii="Times New Roman" w:cs="Times New Roman" w:eastAsia="Times New Roman" w:hAnsi="Times New Roman"/>
          <w:sz w:val="12"/>
          <w:szCs w:val="12"/>
          <w:color w:val="auto"/>
        </w:rPr>
        <w:t>In the first quarter of 2026, Westlake reported net sales of $2.7 billion, a net loss of $169 million, or $1.31 per share, and EBITDA (earnings before interest expense, income taxes, depreciation and amortization) of $150 million. Earnings in the first quarter were impacted by the previously announced $67 million settlement of certain litigation involving direct purchasers of PVC pipe and fittings in the United States and $18 million of charges related to previously announced facility shutdowns, including epoxy, North American chlorovinyls and styrene, and cost saving actions for a combined $85 million impact (the "Identified Items"). Excluding the effects of the Identified Items, the net loss in the first quarter of 2026 was $100 million, or $0.77 per share, and EBITDA was $235 million.</w:t>
      </w:r>
    </w:p>
    <w:p>
      <w:pPr>
        <w:spacing w:after="0" w:line="140" w:lineRule="exact"/>
        <w:rPr>
          <w:sz w:val="20"/>
          <w:szCs w:val="20"/>
          <w:color w:val="auto"/>
        </w:rPr>
      </w:pPr>
    </w:p>
    <w:p>
      <w:pPr>
        <w:ind w:left="8"/>
        <w:spacing w:after="0" w:line="265" w:lineRule="auto"/>
        <w:rPr>
          <w:sz w:val="20"/>
          <w:szCs w:val="20"/>
          <w:color w:val="auto"/>
        </w:rPr>
      </w:pPr>
      <w:r>
        <w:rPr>
          <w:rFonts w:ascii="Times New Roman" w:cs="Times New Roman" w:eastAsia="Times New Roman" w:hAnsi="Times New Roman"/>
          <w:sz w:val="12"/>
          <w:szCs w:val="12"/>
          <w:color w:val="auto"/>
        </w:rPr>
        <w:t>Compared to the fourth quarter of 2025, Westlake's first quarter of 2026 sales volume increased 6% (excluding sales attributable to plant closures and acquisitions) while average sales price increased 1%. Housing and Infrastructure Products sales increased 10%, driven by 10% sales volume growth (excluding the ACI acquisition) that more than offset a 5% decline in average sales price. Performance and Essential Materials sales increased 2% over the same period of time due to a 3% increase in average sales price and a 3% increase in sales volume (excluding plant shutdowns) that was partially offset by a 5% sales impact from plant shutdowns.</w:t>
      </w:r>
    </w:p>
    <w:p>
      <w:pPr>
        <w:spacing w:after="0" w:line="2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EXECUTIVE COMMENTARY</w:t>
      </w:r>
    </w:p>
    <w:p>
      <w:pPr>
        <w:spacing w:after="0" w:line="145" w:lineRule="exact"/>
        <w:rPr>
          <w:sz w:val="20"/>
          <w:szCs w:val="20"/>
          <w:color w:val="auto"/>
        </w:rPr>
      </w:pPr>
    </w:p>
    <w:p>
      <w:pPr>
        <w:ind w:left="8" w:right="240"/>
        <w:spacing w:after="0" w:line="154" w:lineRule="exact"/>
        <w:rPr>
          <w:sz w:val="20"/>
          <w:szCs w:val="20"/>
          <w:color w:val="auto"/>
        </w:rPr>
      </w:pPr>
      <w:r>
        <w:rPr>
          <w:rFonts w:ascii="Times New Roman" w:cs="Times New Roman" w:eastAsia="Times New Roman" w:hAnsi="Times New Roman"/>
          <w:sz w:val="12"/>
          <w:szCs w:val="12"/>
          <w:color w:val="auto"/>
        </w:rPr>
        <w:t>"The first quarter of 2026 began to reflect our cost reduction initiatives announced in 2025. Late in the first quarter we began to see margin improvement in the PEM segment as a result of the Iranian conflict. Our HIP segment saw gains in Pipe and Fittings sales volumes driven by continued strength in infrastructure spending, which was more than offset by the subdued North American residential construction activity and lower average sales prices," said Jean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Marc Gilson, President and Chief Executive Officer.</w:t>
      </w:r>
    </w:p>
    <w:p>
      <w:pPr>
        <w:spacing w:after="0" w:line="133" w:lineRule="exact"/>
        <w:rPr>
          <w:sz w:val="20"/>
          <w:szCs w:val="20"/>
          <w:color w:val="auto"/>
        </w:rPr>
      </w:pPr>
    </w:p>
    <w:p>
      <w:pPr>
        <w:ind w:left="8" w:right="20"/>
        <w:spacing w:after="0" w:line="150" w:lineRule="exact"/>
        <w:rPr>
          <w:sz w:val="20"/>
          <w:szCs w:val="20"/>
          <w:color w:val="auto"/>
        </w:rPr>
      </w:pPr>
      <w:r>
        <w:rPr>
          <w:rFonts w:ascii="Times New Roman" w:cs="Times New Roman" w:eastAsia="Times New Roman" w:hAnsi="Times New Roman"/>
          <w:sz w:val="12"/>
          <w:szCs w:val="12"/>
          <w:color w:val="auto"/>
        </w:rPr>
        <w:t>"Since the closure of the Strait of Hormuz in March, PVC resin and polyethylene sales prices have risen significantly, driven by a steepening of the global cost curve as a result of sharply higher global feedstock and energy prices. At the same time, North American natural gas costs have declined from earlier-year levels due to more favorable weather conditions. While the duration and severity of the impact on global feedstock and energy markets from supply chain disruptions remain uncertain, we expect these factors to provide a meaningful benefit to PEM's margins through at least the summer of 2026. We expect HIP sales volume to be supported by continued infrastructure spending, including strong demand from new data centers, although interest rates and increased building costs are likely to keep home affordability as a headwind to sales volume growth. Finally, in addition to the pricing and margin benefits of a steeper global cost curve, we anticipate further earnings improvement in the coming quarters as we continue to execute against our three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pillar profitability improvement plan," Mr. Gilson concluded.</w:t>
      </w:r>
    </w:p>
    <w:p>
      <w:pPr>
        <w:spacing w:after="0" w:line="2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RESULTS</w:t>
      </w:r>
    </w:p>
    <w:p>
      <w:pPr>
        <w:spacing w:after="0" w:line="1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Consolidated Results</w:t>
      </w:r>
    </w:p>
    <w:p>
      <w:pPr>
        <w:spacing w:after="0" w:line="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(Unless otherwise noted the financial numbers below exclude the effects of the Identified Items)</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For the three months ended March 31, 2026, the Company reported a quarterly net loss of $100 million, or $0.77 per share, on net sales of $2.7 billion compared to the net loss of $131 million reported in the fourth quarter of 2025.</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Sequentially, earnings benefited from the ACI acquisition and higher HIP sales volume, which were partially offset by the impact of higher natural gas costs.</w:t>
      </w:r>
    </w:p>
    <w:p>
      <w:pPr>
        <w:spacing w:after="0" w:line="157" w:lineRule="exact"/>
        <w:rPr>
          <w:sz w:val="20"/>
          <w:szCs w:val="20"/>
          <w:color w:val="auto"/>
        </w:rPr>
      </w:pPr>
    </w:p>
    <w:p>
      <w:pPr>
        <w:ind w:left="8" w:right="100"/>
        <w:spacing w:after="0" w:line="279" w:lineRule="auto"/>
        <w:rPr>
          <w:sz w:val="20"/>
          <w:szCs w:val="20"/>
          <w:color w:val="auto"/>
        </w:rPr>
      </w:pPr>
      <w:r>
        <w:rPr>
          <w:rFonts w:ascii="Times New Roman" w:cs="Times New Roman" w:eastAsia="Times New Roman" w:hAnsi="Times New Roman"/>
          <w:sz w:val="12"/>
          <w:szCs w:val="12"/>
          <w:color w:val="auto"/>
        </w:rPr>
        <w:t>EBITDA of $235 million for the first quarter of 2026 decreased by $60 million compared to first quarter 2025 EBITDA of $295 million. First quarter 2026 EBITDA increased by $39 million compared to fourth quarter 2025 EBITDA of $196 million.</w:t>
      </w:r>
    </w:p>
    <w:p>
      <w:pPr>
        <w:spacing w:after="0" w:line="200" w:lineRule="exact"/>
        <w:rPr>
          <w:sz w:val="20"/>
          <w:szCs w:val="20"/>
          <w:color w:val="auto"/>
        </w:rPr>
      </w:pPr>
    </w:p>
    <w:p>
      <w:pPr>
        <w:spacing w:after="0" w:line="298"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ii</w:t>
      </w:r>
    </w:p>
    <w:p>
      <w:pPr>
        <w:sectPr>
          <w:pgSz w:w="11900" w:h="16838" w:orient="portrait"/>
          <w:cols w:equalWidth="0" w:num="1">
            <w:col w:w="11288"/>
          </w:cols>
          <w:pgMar w:left="292" w:top="697" w:right="319" w:bottom="1440" w:gutter="0" w:footer="0" w:header="0"/>
        </w:sectPr>
      </w:pPr>
    </w:p>
    <w:bookmarkStart w:id="6" w:name="page7"/>
    <w:bookmarkEnd w:id="6"/>
    <w:p>
      <w:pPr>
        <w:spacing w:after="0" w:line="279" w:lineRule="auto"/>
        <w:rPr>
          <w:sz w:val="20"/>
          <w:szCs w:val="20"/>
          <w:color w:val="auto"/>
        </w:rPr>
      </w:pPr>
      <w:r>
        <w:rPr>
          <w:rFonts w:ascii="Times New Roman" w:cs="Times New Roman" w:eastAsia="Times New Roman" w:hAnsi="Times New Roman"/>
          <w:sz w:val="12"/>
          <w:szCs w:val="12"/>
          <w:color w:val="auto"/>
        </w:rPr>
        <w:t>Reconciliations of non-GAAP financial measures used in this press release (including EBITDA and measures that exclude the effects of the Identified Items) to the most directly comparable GAAP measure can be found in the financial schedules at the end of this press release.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Investments and Debt</w:t>
      </w:r>
    </w:p>
    <w:p>
      <w:pPr>
        <w:spacing w:after="0" w:line="14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Net cash used for operating activities was $94 million for the first quarter of 2026 and capital expenditures were $209 million. As of March 31, 2026, cash, cash equivalents and fixed-income investments were $2.5 billion and total debt was $5.6 billion.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Housing and Infrastructure Products Segment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(Unless otherwise noted the financial numbers below exclude the effects of the Identified Items)</w:t>
      </w:r>
    </w:p>
    <w:p>
      <w:pPr>
        <w:spacing w:after="0" w:line="114"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For the first quarter of 2026, Housing and Infrastructure Products income from operations of $124 million decreased by $24 million as compared to the first quarter of 2025. The year-over-year decrease was the result of lower average sales price and margins, particularly in Pipe &amp; Fittings, and lower sales volume (excluding sales attributable to the ACI acquisition), particularly in Building Products.</w:t>
      </w:r>
    </w:p>
    <w:p>
      <w:pPr>
        <w:spacing w:after="0" w:line="129"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Sequentially, Housing and Infrastructure Products income from operations increased by $42 million as compared to the fourth quarter of 2025. This increase in income from operations versus the prior quarter was primarily due to seasonally higher sales volume and sales attributable to the ACI acquisition.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Performance and Essential Materials Segment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(Unless otherwise noted the financial numbers below exclude the effects of the Identified Items)</w:t>
      </w:r>
    </w:p>
    <w:p>
      <w:pPr>
        <w:spacing w:after="0" w:line="11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For the first quarter of 2026, Performance and Essential Materials loss from operations was $194 million as compared to the first quarter of 2025's loss from operations of $156 million due to a 3% decline in average sales price that was partially offset by margin benefits from footprint optimization and cost saving actions. Performance Materials net sales of $1.0 billion in the first quarter of 2026 decreased by $53 million primarily due to lower average sales price for polyethylene and PVC resin and lower PVC resin sales volume due to footprint optimization actions. Essential Materials net sales of $656 million decreased by $138 million from the first quarter of 2025 primarily due to lower chlorine and caustic soda sales volume.</w:t>
      </w:r>
    </w:p>
    <w:p>
      <w:pPr>
        <w:spacing w:after="0" w:line="140"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Sequentially, Performance and Essential Materials loss from operations for the first quarter of 2026 decreased by $28 million as compared to the fourth quarter of 2025. This improvement in loss from operations versus the prior quarter was primarily due to a higher average sales price, particularly for polyethylene.</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iii</w:t>
      </w:r>
    </w:p>
    <w:p>
      <w:pPr>
        <w:sectPr>
          <w:pgSz w:w="11900" w:h="16838" w:orient="portrait"/>
          <w:cols w:equalWidth="0" w:num="1">
            <w:col w:w="11260"/>
          </w:cols>
          <w:pgMar w:left="300" w:top="75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i w:val="1"/>
          <w:iCs w:val="1"/>
          <w:color w:val="auto"/>
        </w:rPr>
        <w:t>Forward-Looking Statements</w:t>
      </w:r>
    </w:p>
    <w:p>
      <w:pPr>
        <w:spacing w:after="0" w:line="141"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2"/>
          <w:szCs w:val="12"/>
          <w:i w:val="1"/>
          <w:iCs w:val="1"/>
          <w:color w:val="auto"/>
        </w:rPr>
        <w:t>The statements in this release and the related teleconference relating to matters that are not historical facts, including statements regarding our outlook for the performance of our business segments and future earnings, global macroeconomic conditions and their effects on us and our customers, expectations regarding interest rates and building costs, trends in the global cost curve and any associated pricing and margin benefits, industrial and manufacturing activity in our target markets, including infrastructure spending and demand for data centers, growth in our customers' businesses and their dependence on our products, the effects of the conflict in Iran on us, our competitors and global supply chains, future global trading policy and relationships, housing demand and residential construction activity, raw material costs, fluctuations in energy and feedstock prices, our ability to execute against our profitability improvement plan and the effects of our optimization initiatives (including anticipated cost savings), our market position and the strength of our brands, the benefits of a diversified and integrated business model, our ability to maintain cost advantages and global demand for our products are forward-looking statements.</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i w:val="1"/>
          <w:iCs w:val="1"/>
          <w:color w:val="auto"/>
        </w:rPr>
        <w:t>These forward-looking statements are subject to significant risks and uncertainties. Actual results could differ materially, based on factors including, but not limited to: general economic and business conditions; the cyclical nature of the chemical and building products industries; the availability, cost and volatility of raw materials and energy; uncertainties associated with the United States, European and worldwide economies, including those due to political tensions and conflict in the Middle East, Russia and Ukraine and elsewhere; uncertainties associated with pandemic infectious diseases; uncertainties associated with climate change; the potential impact on demand for ethylene, polyethylene and polyvinyl chloride due to initiatives such as recycling and customers seeking alternatives to polymers; current and potential governmental regulatory actions in the United States and other countries; industry production capacity and operating rates; the supply/demand balance for Westlake's products; competitive products and pricing pressures; instability in the credit and financial markets; access to capital markets; terrorist acts; operating interruptions; changes in laws and regulations, including trade policies and tariffs; the effects of government shutdowns; technological developments; information systems failures and cyberattacks; foreign currency exchange risks; our ability to implement our business strategies; creditworthiness of our customers; the effects and results of litigation and settlements of litigation; and other risk factors. For more detailed information about the factors that could cause actual results to differ materially, please refer to Westlake's Annual Report on Form 10-K for the year ended December 31, 2025, which was filed with the SEC in February 2026.</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Use of Non-GAAP Financial Measures</w:t>
      </w:r>
    </w:p>
    <w:p>
      <w:pPr>
        <w:spacing w:after="0" w:line="14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i w:val="1"/>
          <w:iCs w:val="1"/>
          <w:color w:val="auto"/>
        </w:rPr>
        <w:t>This release makes reference to certain "non-GAAP" financial measures, such as EBITDA, free cash flow and other measures that exclude the effects of the Identified Items, as defined in Regulation G of the U.S. Securities Exchange Act of 1934, as amended.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operations, balance sheet or statement of cash flows (or equivalent statements) of the registrant; or (2) includes amounts, or is subject to adjustments that have the effect of including amounts, that are excluded from the most directly comparable measure so calculated and presented. We report our financial results in accordance with U.S. generally accepted accounting principles (U.S. GAAP), but believe that certain non-GAAP financial measures, such as EBITDA, free cash flow and measures that exclude the effects of the Identified Items, provide useful supplemental information to investors regarding the underlying business trends and performance of the Company's ongoing operations and are useful for period-over-period comparisons of such operations. These non-GAAP financial measures should be considered as a supplement to, and not as a substitute for or superior to, the financial measures prepared in accordance with U.S. GAAP. A reconciliation of (i) net loss, loss from operations and net cash provided by (used for) operating activities to EBITDA, and (ii) net cash provided by (used for) operating activities to free cash flow and (iii) other measures reflecting adjustments for the effects of the Identified Items can be found in the financial schedules at the end of this press release.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About Westlake</w:t>
      </w:r>
    </w:p>
    <w:p>
      <w:pPr>
        <w:spacing w:after="0" w:line="150" w:lineRule="exact"/>
        <w:rPr>
          <w:sz w:val="20"/>
          <w:szCs w:val="20"/>
          <w:color w:val="auto"/>
        </w:rPr>
      </w:pPr>
    </w:p>
    <w:p>
      <w:pPr>
        <w:ind w:right="40"/>
        <w:spacing w:after="0" w:line="327" w:lineRule="auto"/>
        <w:rPr>
          <w:sz w:val="20"/>
          <w:szCs w:val="20"/>
          <w:color w:val="auto"/>
        </w:rPr>
      </w:pPr>
      <w:r>
        <w:rPr>
          <w:rFonts w:ascii="Times New Roman" w:cs="Times New Roman" w:eastAsia="Times New Roman" w:hAnsi="Times New Roman"/>
          <w:sz w:val="11"/>
          <w:szCs w:val="11"/>
          <w:color w:val="auto"/>
        </w:rPr>
        <w:t xml:space="preserve">Celebrating 40 years of operations in 2026, Westlake is a global manufacturer and supplier of materials and innovative products that enhance life every day. Headquartered in Houston, with operations in Asia, Europe and North America, we provide the building blocks for vital solutions — from housing and construction, to packaging and healthcare, to automotive and consumer goods. For more information, visit the Company's web site at </w:t>
      </w:r>
      <w:r>
        <w:rPr>
          <w:rFonts w:ascii="Times New Roman" w:cs="Times New Roman" w:eastAsia="Times New Roman" w:hAnsi="Times New Roman"/>
          <w:sz w:val="11"/>
          <w:szCs w:val="11"/>
          <w:color w:val="0000FF"/>
        </w:rPr>
        <w:t>www.westlake.com.</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iv</w:t>
      </w:r>
    </w:p>
    <w:p>
      <w:pPr>
        <w:sectPr>
          <w:pgSz w:w="11900" w:h="16838" w:orient="portrait"/>
          <w:cols w:equalWidth="0" w:num="1">
            <w:col w:w="11300"/>
          </w:cols>
          <w:pgMar w:left="300" w:top="892"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color w:val="auto"/>
        </w:rPr>
        <w:t>Westlake Corporation Conference Call Information:</w:t>
      </w:r>
    </w:p>
    <w:p>
      <w:pPr>
        <w:spacing w:after="0" w:line="14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 xml:space="preserve">A conference call to discuss Westlake Corporation's first quarter 2026 results will be held Tuesday, May 5, 2026 at 11:00 AM Eastern Time (10:00 AM Central Time). To access the conference call, it is necessary to pre-register at </w:t>
      </w:r>
      <w:r>
        <w:rPr>
          <w:rFonts w:ascii="Times New Roman" w:cs="Times New Roman" w:eastAsia="Times New Roman" w:hAnsi="Times New Roman"/>
          <w:sz w:val="12"/>
          <w:szCs w:val="12"/>
          <w:color w:val="3051F2"/>
        </w:rPr>
        <w:t>https://register-conf.media-server.com/register/BI34ea020237b448069214d7ccf868ece8</w:t>
      </w:r>
      <w:r>
        <w:rPr>
          <w:rFonts w:ascii="Times New Roman" w:cs="Times New Roman" w:eastAsia="Times New Roman" w:hAnsi="Times New Roman"/>
          <w:sz w:val="12"/>
          <w:szCs w:val="12"/>
          <w:color w:val="000000"/>
        </w:rPr>
        <w:t>. Once registered, you will receive a phone number and unique PIN number.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A replay of the conference call will be available beginning two hours after its conclusion. The conference call and replay will be available via webcast at </w:t>
      </w:r>
      <w:r>
        <w:rPr>
          <w:rFonts w:ascii="Times New Roman" w:cs="Times New Roman" w:eastAsia="Times New Roman" w:hAnsi="Times New Roman"/>
          <w:sz w:val="12"/>
          <w:szCs w:val="12"/>
          <w:color w:val="3051F2"/>
        </w:rPr>
        <w:t>https://edge.media-server.com/mmc/p/p33g6sjv/.</w:t>
      </w:r>
    </w:p>
    <w:p>
      <w:pPr>
        <w:spacing w:after="0" w:line="3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2"/>
          <w:szCs w:val="12"/>
          <w:color w:val="auto"/>
        </w:rPr>
        <w:t>v</w:t>
      </w:r>
    </w:p>
    <w:p>
      <w:pPr>
        <w:sectPr>
          <w:pgSz w:w="11900" w:h="16838" w:orient="portrait"/>
          <w:cols w:equalWidth="0" w:num="1">
            <w:col w:w="10960"/>
          </w:cols>
          <w:pgMar w:left="300" w:top="894" w:right="639" w:bottom="1440" w:gutter="0" w:footer="0" w:header="0"/>
        </w:sectPr>
      </w:pPr>
    </w:p>
    <w:bookmarkStart w:id="9" w:name="page10"/>
    <w:bookmarkEnd w:id="9"/>
    <w:p>
      <w:pPr>
        <w:ind w:left="4820"/>
        <w:spacing w:after="0"/>
        <w:rPr>
          <w:sz w:val="20"/>
          <w:szCs w:val="20"/>
          <w:color w:val="auto"/>
        </w:rPr>
      </w:pPr>
      <w:r>
        <w:rPr>
          <w:rFonts w:ascii="Times New Roman" w:cs="Times New Roman" w:eastAsia="Times New Roman" w:hAnsi="Times New Roman"/>
          <w:sz w:val="12"/>
          <w:szCs w:val="12"/>
          <w:b w:val="1"/>
          <w:bCs w:val="1"/>
          <w:color w:val="auto"/>
        </w:rPr>
        <w:t>WESTLAKE CORPORATION</w:t>
      </w:r>
    </w:p>
    <w:p>
      <w:pPr>
        <w:spacing w:after="0" w:line="1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800" w:type="dxa"/>
            <w:vAlign w:val="bottom"/>
            <w:tcBorders>
              <w:bottom w:val="single" w:sz="8" w:color="auto"/>
            </w:tcBorders>
          </w:tcPr>
          <w:p>
            <w:pPr>
              <w:spacing w:after="0"/>
              <w:rPr>
                <w:sz w:val="11"/>
                <w:szCs w:val="11"/>
                <w:color w:val="auto"/>
              </w:rPr>
            </w:pPr>
          </w:p>
        </w:tc>
      </w:tr>
      <w:tr>
        <w:trPr>
          <w:trHeight w:val="128"/>
        </w:trPr>
        <w:tc>
          <w:tcPr>
            <w:tcW w:w="8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0"/>
                <w:szCs w:val="10"/>
                <w:b w:val="1"/>
                <w:bCs w:val="1"/>
                <w:color w:val="auto"/>
                <w:w w:val="89"/>
              </w:rPr>
              <w:t>2025</w:t>
            </w:r>
          </w:p>
        </w:tc>
      </w:tr>
      <w:tr>
        <w:trPr>
          <w:trHeight w:val="147"/>
        </w:trPr>
        <w:tc>
          <w:tcPr>
            <w:tcW w:w="8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gridSpan w:val="4"/>
          </w:tcPr>
          <w:p>
            <w:pPr>
              <w:jc w:val="right"/>
              <w:ind w:right="81"/>
              <w:spacing w:after="0"/>
              <w:rPr>
                <w:sz w:val="20"/>
                <w:szCs w:val="20"/>
                <w:color w:val="auto"/>
              </w:rPr>
            </w:pPr>
            <w:r>
              <w:rPr>
                <w:rFonts w:ascii="Times New Roman" w:cs="Times New Roman" w:eastAsia="Times New Roman" w:hAnsi="Times New Roman"/>
                <w:sz w:val="10"/>
                <w:szCs w:val="10"/>
                <w:b w:val="1"/>
                <w:bCs w:val="1"/>
                <w:color w:val="auto"/>
                <w:w w:val="97"/>
              </w:rPr>
              <w:t>(in millions of dollars, except per share data and share amounts)</w:t>
            </w:r>
          </w:p>
        </w:tc>
      </w:tr>
      <w:tr>
        <w:trPr>
          <w:trHeight w:val="16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2,652</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2,846</w:t>
            </w:r>
          </w:p>
        </w:tc>
      </w:tr>
      <w:tr>
        <w:trPr>
          <w:trHeight w:val="153"/>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Cost of sales</w:t>
            </w: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2,540</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2,614</w:t>
            </w:r>
          </w:p>
        </w:tc>
      </w:tr>
      <w:tr>
        <w:trPr>
          <w:trHeight w:val="14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profit</w:t>
            </w: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112</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w:t>
            </w:r>
          </w:p>
        </w:tc>
      </w:tr>
      <w:tr>
        <w:trPr>
          <w:trHeight w:val="153"/>
        </w:trPr>
        <w:tc>
          <w:tcPr>
            <w:tcW w:w="8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120" w:type="dxa"/>
            <w:vAlign w:val="bottom"/>
          </w:tcPr>
          <w:p>
            <w:pPr>
              <w:spacing w:after="0"/>
              <w:rPr>
                <w:sz w:val="13"/>
                <w:szCs w:val="13"/>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236</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w:t>
            </w:r>
          </w:p>
        </w:tc>
      </w:tr>
      <w:tr>
        <w:trPr>
          <w:trHeight w:val="15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53"/>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Restructuring, transaction and integration-related costs</w:t>
            </w: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w:t>
            </w:r>
          </w:p>
        </w:tc>
      </w:tr>
      <w:tr>
        <w:trPr>
          <w:trHeight w:val="14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Loss from operations</w:t>
            </w: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r>
      <w:tr>
        <w:trPr>
          <w:trHeight w:val="153"/>
        </w:trPr>
        <w:tc>
          <w:tcPr>
            <w:tcW w:w="83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Interest expense</w:t>
            </w: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153"/>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Other income, net</w:t>
            </w:r>
          </w:p>
        </w:tc>
        <w:tc>
          <w:tcPr>
            <w:tcW w:w="12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r>
      <w:tr>
        <w:trPr>
          <w:trHeight w:val="142"/>
        </w:trPr>
        <w:tc>
          <w:tcPr>
            <w:tcW w:w="8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Loss before income taxes</w:t>
            </w:r>
          </w:p>
        </w:tc>
        <w:tc>
          <w:tcPr>
            <w:tcW w:w="1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53"/>
        </w:trPr>
        <w:tc>
          <w:tcPr>
            <w:tcW w:w="8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Provision for (benefit from) income taxes</w:t>
            </w:r>
          </w:p>
        </w:tc>
        <w:tc>
          <w:tcPr>
            <w:tcW w:w="12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142"/>
        </w:trPr>
        <w:tc>
          <w:tcPr>
            <w:tcW w:w="8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r>
      <w:tr>
        <w:trPr>
          <w:trHeight w:val="153"/>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Net income attributable to noncontrolling interests</w:t>
            </w:r>
          </w:p>
        </w:tc>
        <w:tc>
          <w:tcPr>
            <w:tcW w:w="12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158"/>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Net loss attributable to Westlake Corporation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(169)</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(40)</w:t>
            </w:r>
          </w:p>
        </w:tc>
      </w:tr>
      <w:tr>
        <w:trPr>
          <w:trHeight w:val="135"/>
        </w:trPr>
        <w:tc>
          <w:tcPr>
            <w:tcW w:w="83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Loss per common share attributable to Westlake Corporation:</w:t>
            </w: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3"/>
        </w:trPr>
        <w:tc>
          <w:tcPr>
            <w:tcW w:w="83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80" w:type="dxa"/>
            <w:vAlign w:val="bottom"/>
          </w:tcPr>
          <w:p>
            <w:pPr>
              <w:spacing w:after="0"/>
              <w:rPr>
                <w:sz w:val="13"/>
                <w:szCs w:val="13"/>
                <w:color w:val="auto"/>
              </w:rPr>
            </w:pPr>
          </w:p>
        </w:tc>
        <w:tc>
          <w:tcPr>
            <w:tcW w:w="620" w:type="dxa"/>
            <w:vAlign w:val="bottom"/>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(0.31)</w:t>
            </w:r>
          </w:p>
        </w:tc>
      </w:tr>
      <w:tr>
        <w:trPr>
          <w:trHeight w:val="173"/>
        </w:trPr>
        <w:tc>
          <w:tcPr>
            <w:tcW w:w="8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(0.31)</w:t>
            </w:r>
          </w:p>
        </w:tc>
      </w:tr>
      <w:tr>
        <w:trPr>
          <w:trHeight w:val="131"/>
        </w:trPr>
        <w:tc>
          <w:tcPr>
            <w:tcW w:w="830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Weighted average common shares outstanding:</w:t>
            </w: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3"/>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Basic</w:t>
            </w: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127,992,500</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128,308,537</w:t>
            </w:r>
          </w:p>
        </w:tc>
      </w:tr>
      <w:tr>
        <w:trPr>
          <w:trHeight w:val="153"/>
        </w:trPr>
        <w:tc>
          <w:tcPr>
            <w:tcW w:w="83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Diluted</w:t>
            </w: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127,992,500</w:t>
            </w:r>
          </w:p>
        </w:tc>
        <w:tc>
          <w:tcPr>
            <w:tcW w:w="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128,308,537</w:t>
            </w:r>
          </w:p>
        </w:tc>
      </w:tr>
      <w:tr>
        <w:trPr>
          <w:trHeight w:val="20"/>
        </w:trPr>
        <w:tc>
          <w:tcPr>
            <w:tcW w:w="8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vi</w:t>
      </w:r>
    </w:p>
    <w:p>
      <w:pPr>
        <w:sectPr>
          <w:pgSz w:w="11900" w:h="16838" w:orient="portrait"/>
          <w:cols w:equalWidth="0" w:num="1">
            <w:col w:w="11240"/>
          </w:cols>
          <w:pgMar w:left="320" w:top="800" w:right="339" w:bottom="1440" w:gutter="0" w:footer="0" w:header="0"/>
        </w:sectPr>
      </w:pPr>
    </w:p>
    <w:bookmarkStart w:id="10" w:name="page11"/>
    <w:bookmarkEnd w:id="10"/>
    <w:p>
      <w:pPr>
        <w:ind w:left="4840"/>
        <w:spacing w:after="0"/>
        <w:rPr>
          <w:sz w:val="20"/>
          <w:szCs w:val="20"/>
          <w:color w:val="auto"/>
        </w:rPr>
      </w:pPr>
      <w:r>
        <w:rPr>
          <w:rFonts w:ascii="Times New Roman" w:cs="Times New Roman" w:eastAsia="Times New Roman" w:hAnsi="Times New Roman"/>
          <w:sz w:val="12"/>
          <w:szCs w:val="12"/>
          <w:b w:val="1"/>
          <w:bCs w:val="1"/>
          <w:color w:val="auto"/>
        </w:rPr>
        <w:t>WESTLAKE CORPORATION</w:t>
      </w:r>
    </w:p>
    <w:p>
      <w:pPr>
        <w:spacing w:after="0" w:line="1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62" w:lineRule="exact"/>
        <w:rPr>
          <w:sz w:val="20"/>
          <w:szCs w:val="20"/>
          <w:color w:val="auto"/>
        </w:rPr>
      </w:pPr>
    </w:p>
    <w:tbl>
      <w:tblPr>
        <w:tblLayout w:type="fixed"/>
        <w:tblInd w:w="8320" w:type="dxa"/>
        <w:tblCellMar>
          <w:top w:w="0" w:type="dxa"/>
          <w:left w:w="0" w:type="dxa"/>
          <w:bottom w:w="0" w:type="dxa"/>
          <w:right w:w="0" w:type="dxa"/>
        </w:tblCellMar>
      </w:tblPr>
      <w:tr>
        <w:trPr>
          <w:trHeight w:val="115"/>
        </w:trPr>
        <w:tc>
          <w:tcPr>
            <w:tcW w:w="980" w:type="dxa"/>
            <w:vAlign w:val="bottom"/>
          </w:tcPr>
          <w:p>
            <w:pPr>
              <w:jc w:val="center"/>
              <w:ind w:left="432"/>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r>
      <w:tr>
        <w:trPr>
          <w:trHeight w:val="130"/>
        </w:trPr>
        <w:tc>
          <w:tcPr>
            <w:tcW w:w="9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2026</w:t>
            </w: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139"/>
        </w:trPr>
        <w:tc>
          <w:tcPr>
            <w:tcW w:w="980" w:type="dxa"/>
            <w:vAlign w:val="bottom"/>
          </w:tcPr>
          <w:p>
            <w:pPr>
              <w:spacing w:after="0"/>
              <w:rPr>
                <w:sz w:val="12"/>
                <w:szCs w:val="12"/>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(in millions of dollars)</w:t>
            </w:r>
          </w:p>
        </w:tc>
      </w:tr>
    </w:tbl>
    <w:p>
      <w:pPr>
        <w:spacing w:after="0" w:line="11" w:lineRule="exact"/>
        <w:rPr>
          <w:sz w:val="20"/>
          <w:szCs w:val="20"/>
          <w:color w:val="auto"/>
        </w:rPr>
      </w:pPr>
    </w:p>
    <w:p>
      <w:pPr>
        <w:sectPr>
          <w:pgSz w:w="11900" w:h="16838" w:orient="portrait"/>
          <w:cols w:equalWidth="0" w:num="1">
            <w:col w:w="11280"/>
          </w:cols>
          <w:pgMar w:left="300" w:top="800" w:right="319" w:bottom="1440" w:gutter="0" w:footer="0" w:header="0"/>
        </w:sectPr>
      </w:pP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Current assets</w:t>
      </w:r>
    </w:p>
    <w:p>
      <w:pPr>
        <w:spacing w:after="0" w:line="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Cash and cash equivalents</w:t>
      </w:r>
    </w:p>
    <w:p>
      <w:pPr>
        <w:spacing w:after="0" w:line="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Available-for-sale securities</w:t>
      </w:r>
    </w:p>
    <w:p>
      <w:pPr>
        <w:spacing w:after="0" w:line="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Accounts receivable, net</w:t>
      </w:r>
    </w:p>
    <w:p>
      <w:pPr>
        <w:spacing w:after="0" w:line="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Inventories</w:t>
      </w:r>
    </w:p>
    <w:p>
      <w:pPr>
        <w:spacing w:after="0" w:line="15" w:lineRule="exact"/>
        <w:rPr>
          <w:sz w:val="20"/>
          <w:szCs w:val="20"/>
          <w:color w:val="auto"/>
        </w:rPr>
      </w:pPr>
    </w:p>
    <w:p>
      <w:pPr>
        <w:ind w:left="440" w:right="420" w:hanging="215"/>
        <w:spacing w:after="0" w:line="273" w:lineRule="auto"/>
        <w:rPr>
          <w:sz w:val="20"/>
          <w:szCs w:val="20"/>
          <w:color w:val="auto"/>
        </w:rPr>
      </w:pPr>
      <w:r>
        <w:rPr>
          <w:rFonts w:ascii="Times New Roman" w:cs="Times New Roman" w:eastAsia="Times New Roman" w:hAnsi="Times New Roman"/>
          <w:sz w:val="12"/>
          <w:szCs w:val="12"/>
          <w:color w:val="auto"/>
        </w:rPr>
        <w:t>Prepaid expenses and other current assets Total current assets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Property, plant and equipment, net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assets, net</w:t>
      </w:r>
    </w:p>
    <w:p>
      <w:pPr>
        <w:spacing w:after="0" w:line="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Total assets</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Times New Roman" w:cs="Times New Roman" w:eastAsia="Times New Roman" w:hAnsi="Times New Roman"/>
          <w:sz w:val="12"/>
          <w:szCs w:val="12"/>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-2125345</wp:posOffset>
            </wp:positionH>
            <wp:positionV relativeFrom="paragraph">
              <wp:posOffset>-83185</wp:posOffset>
            </wp:positionV>
            <wp:extent cx="7166610" cy="97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line="152" w:lineRule="exact"/>
        <w:rPr>
          <w:sz w:val="20"/>
          <w:szCs w:val="20"/>
          <w:color w:val="auto"/>
        </w:rPr>
      </w:pPr>
    </w:p>
    <w:tbl>
      <w:tblPr>
        <w:tblLayout w:type="fixed"/>
        <w:tblInd w:w="4980" w:type="dxa"/>
        <w:tblCellMar>
          <w:top w:w="0" w:type="dxa"/>
          <w:left w:w="0" w:type="dxa"/>
          <w:bottom w:w="0" w:type="dxa"/>
          <w:right w:w="0" w:type="dxa"/>
        </w:tblCellMar>
      </w:tblPr>
      <w:tr>
        <w:trPr>
          <w:trHeight w:val="153"/>
        </w:trPr>
        <w:tc>
          <w:tcPr>
            <w:tcW w:w="5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2,271</w:t>
            </w:r>
          </w:p>
        </w:tc>
        <w:tc>
          <w:tcPr>
            <w:tcW w:w="80" w:type="dxa"/>
            <w:vAlign w:val="bottom"/>
          </w:tcPr>
          <w:p>
            <w:pPr>
              <w:spacing w:after="0"/>
              <w:rPr>
                <w:sz w:val="13"/>
                <w:szCs w:val="13"/>
                <w:color w:val="auto"/>
              </w:rPr>
            </w:pPr>
          </w:p>
        </w:tc>
        <w:tc>
          <w:tcPr>
            <w:tcW w:w="5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2,724</w:t>
            </w:r>
          </w:p>
        </w:tc>
      </w:tr>
      <w:tr>
        <w:trPr>
          <w:trHeight w:val="153"/>
        </w:trPr>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w:t>
            </w:r>
          </w:p>
        </w:tc>
      </w:tr>
      <w:tr>
        <w:trPr>
          <w:trHeight w:val="153"/>
        </w:trPr>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1,690</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1,504</w:t>
            </w:r>
          </w:p>
        </w:tc>
      </w:tr>
      <w:tr>
        <w:trPr>
          <w:trHeight w:val="153"/>
        </w:trPr>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1,677</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1,653</w:t>
            </w:r>
          </w:p>
        </w:tc>
      </w:tr>
      <w:tr>
        <w:trPr>
          <w:trHeight w:val="155"/>
        </w:trPr>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131</w:t>
            </w:r>
          </w:p>
        </w:tc>
      </w:tr>
      <w:tr>
        <w:trPr>
          <w:trHeight w:val="140"/>
        </w:trPr>
        <w:tc>
          <w:tcPr>
            <w:tcW w:w="5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5,952</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6,216</w:t>
            </w:r>
          </w:p>
        </w:tc>
      </w:tr>
      <w:tr>
        <w:trPr>
          <w:trHeight w:val="153"/>
        </w:trPr>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8,579</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8,605</w:t>
            </w:r>
          </w:p>
        </w:tc>
      </w:tr>
      <w:tr>
        <w:trPr>
          <w:trHeight w:val="155"/>
        </w:trPr>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5,176</w:t>
            </w: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5,140</w:t>
            </w:r>
          </w:p>
        </w:tc>
      </w:tr>
      <w:tr>
        <w:trPr>
          <w:trHeight w:val="142"/>
        </w:trPr>
        <w:tc>
          <w:tcPr>
            <w:tcW w:w="5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19,707</w:t>
            </w:r>
          </w:p>
        </w:tc>
        <w:tc>
          <w:tcPr>
            <w:tcW w:w="80" w:type="dxa"/>
            <w:vAlign w:val="bottom"/>
          </w:tcPr>
          <w:p>
            <w:pPr>
              <w:spacing w:after="0"/>
              <w:rPr>
                <w:sz w:val="12"/>
                <w:szCs w:val="12"/>
                <w:color w:val="auto"/>
              </w:rPr>
            </w:pPr>
          </w:p>
        </w:tc>
        <w:tc>
          <w:tcPr>
            <w:tcW w:w="5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19,961</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-2125345</wp:posOffset>
            </wp:positionH>
            <wp:positionV relativeFrom="paragraph">
              <wp:posOffset>-908050</wp:posOffset>
            </wp:positionV>
            <wp:extent cx="7166610" cy="97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-2125345</wp:posOffset>
            </wp:positionH>
            <wp:positionV relativeFrom="paragraph">
              <wp:posOffset>-713740</wp:posOffset>
            </wp:positionV>
            <wp:extent cx="7166610" cy="97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-2125345</wp:posOffset>
            </wp:positionH>
            <wp:positionV relativeFrom="paragraph">
              <wp:posOffset>-519430</wp:posOffset>
            </wp:positionV>
            <wp:extent cx="7166610" cy="97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-2125345</wp:posOffset>
            </wp:positionH>
            <wp:positionV relativeFrom="paragraph">
              <wp:posOffset>-319405</wp:posOffset>
            </wp:positionV>
            <wp:extent cx="7166610" cy="97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-2125345</wp:posOffset>
            </wp:positionH>
            <wp:positionV relativeFrom="paragraph">
              <wp:posOffset>-125095</wp:posOffset>
            </wp:positionV>
            <wp:extent cx="7166610" cy="114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6610" cy="11430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-2125345</wp:posOffset>
            </wp:positionH>
            <wp:positionV relativeFrom="paragraph">
              <wp:posOffset>-83185</wp:posOffset>
            </wp:positionV>
            <wp:extent cx="7166610" cy="97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2620" w:space="720"/>
            <w:col w:w="7940"/>
          </w:cols>
          <w:pgMar w:left="300" w:top="800" w:right="319" w:bottom="1440" w:gutter="0" w:footer="0" w:header="0"/>
          <w:type w:val="continuous"/>
        </w:sectPr>
      </w:pPr>
    </w:p>
    <w:tbl>
      <w:tblPr>
        <w:tblLayout w:type="fixed"/>
        <w:tblInd w:w="0" w:type="dxa"/>
        <w:tblCellMar>
          <w:top w:w="0" w:type="dxa"/>
          <w:left w:w="0" w:type="dxa"/>
          <w:bottom w:w="0" w:type="dxa"/>
          <w:right w:w="0" w:type="dxa"/>
        </w:tblCellMar>
      </w:tblPr>
      <w:tr>
        <w:trPr>
          <w:trHeight w:val="153"/>
        </w:trPr>
        <w:tc>
          <w:tcPr>
            <w:tcW w:w="832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 (accounts payable and accrued and other liabilities)</w:t>
            </w:r>
          </w:p>
        </w:tc>
        <w:tc>
          <w:tcPr>
            <w:tcW w:w="5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2,247</w:t>
            </w:r>
          </w:p>
        </w:tc>
        <w:tc>
          <w:tcPr>
            <w:tcW w:w="80" w:type="dxa"/>
            <w:vAlign w:val="bottom"/>
          </w:tcPr>
          <w:p>
            <w:pPr>
              <w:spacing w:after="0"/>
              <w:rPr>
                <w:sz w:val="13"/>
                <w:szCs w:val="13"/>
                <w:color w:val="auto"/>
              </w:rPr>
            </w:pPr>
          </w:p>
        </w:tc>
        <w:tc>
          <w:tcPr>
            <w:tcW w:w="5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2,273</w:t>
            </w:r>
          </w:p>
        </w:tc>
      </w:tr>
      <w:tr>
        <w:trPr>
          <w:trHeight w:val="15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portion of long-term debt, net</w:t>
            </w:r>
          </w:p>
        </w:tc>
        <w:tc>
          <w:tcPr>
            <w:tcW w:w="5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496</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w:t>
            </w:r>
          </w:p>
        </w:tc>
      </w:tr>
      <w:tr>
        <w:trPr>
          <w:trHeight w:val="153"/>
        </w:trPr>
        <w:tc>
          <w:tcPr>
            <w:tcW w:w="832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 net</w:t>
            </w: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5,074</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5,087</w:t>
            </w:r>
          </w:p>
        </w:tc>
      </w:tr>
      <w:tr>
        <w:trPr>
          <w:trHeight w:val="15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5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2,839</w:t>
            </w:r>
          </w:p>
        </w:tc>
        <w:tc>
          <w:tcPr>
            <w:tcW w:w="8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2,809</w:t>
            </w:r>
          </w:p>
        </w:tc>
      </w:tr>
      <w:tr>
        <w:trPr>
          <w:trHeight w:val="142"/>
        </w:trPr>
        <w:tc>
          <w:tcPr>
            <w:tcW w:w="83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2"/>
                <w:szCs w:val="12"/>
                <w:color w:val="auto"/>
              </w:rPr>
              <w:t>Total liabilities</w:t>
            </w:r>
          </w:p>
        </w:tc>
        <w:tc>
          <w:tcPr>
            <w:tcW w:w="5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10,656</w:t>
            </w: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10,666</w:t>
            </w:r>
          </w:p>
        </w:tc>
      </w:tr>
      <w:tr>
        <w:trPr>
          <w:trHeight w:val="142"/>
        </w:trPr>
        <w:tc>
          <w:tcPr>
            <w:tcW w:w="8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Total Westlake Corporation stockholders' equity</w:t>
            </w: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8,547</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8,792</w:t>
            </w:r>
          </w:p>
        </w:tc>
      </w:tr>
      <w:tr>
        <w:trPr>
          <w:trHeight w:val="153"/>
        </w:trPr>
        <w:tc>
          <w:tcPr>
            <w:tcW w:w="8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Noncontrolling interests</w:t>
            </w: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504</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503</w:t>
            </w:r>
          </w:p>
        </w:tc>
      </w:tr>
      <w:tr>
        <w:trPr>
          <w:trHeight w:val="142"/>
        </w:trPr>
        <w:tc>
          <w:tcPr>
            <w:tcW w:w="8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Total equity</w:t>
            </w:r>
          </w:p>
        </w:tc>
        <w:tc>
          <w:tcPr>
            <w:tcW w:w="5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9,051</w:t>
            </w:r>
          </w:p>
        </w:tc>
        <w:tc>
          <w:tcPr>
            <w:tcW w:w="8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9,295</w:t>
            </w:r>
          </w:p>
        </w:tc>
      </w:tr>
      <w:tr>
        <w:trPr>
          <w:trHeight w:val="142"/>
        </w:trPr>
        <w:tc>
          <w:tcPr>
            <w:tcW w:w="832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liabilities and equity</w:t>
            </w:r>
          </w:p>
        </w:tc>
        <w:tc>
          <w:tcPr>
            <w:tcW w:w="5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19,707</w:t>
            </w:r>
          </w:p>
        </w:tc>
        <w:tc>
          <w:tcPr>
            <w:tcW w:w="80" w:type="dxa"/>
            <w:vAlign w:val="bottom"/>
          </w:tcPr>
          <w:p>
            <w:pPr>
              <w:spacing w:after="0"/>
              <w:rPr>
                <w:sz w:val="12"/>
                <w:szCs w:val="12"/>
                <w:color w:val="auto"/>
              </w:rPr>
            </w:pPr>
          </w:p>
        </w:tc>
        <w:tc>
          <w:tcPr>
            <w:tcW w:w="5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19,961</w:t>
            </w:r>
          </w:p>
        </w:tc>
      </w:tr>
      <w:tr>
        <w:trPr>
          <w:trHeight w:val="20"/>
        </w:trPr>
        <w:tc>
          <w:tcPr>
            <w:tcW w:w="8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vii</w:t>
      </w:r>
    </w:p>
    <w:p>
      <w:pPr>
        <w:sectPr>
          <w:pgSz w:w="11900" w:h="16838" w:orient="portrait"/>
          <w:cols w:equalWidth="0" w:num="1">
            <w:col w:w="11280"/>
          </w:cols>
          <w:pgMar w:left="300" w:top="800" w:right="319" w:bottom="144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loss</w:t>
      </w:r>
    </w:p>
    <w:p>
      <w:pPr>
        <w:spacing w:after="0" w:line="15" w:lineRule="exact"/>
        <w:rPr>
          <w:sz w:val="20"/>
          <w:szCs w:val="20"/>
          <w:color w:val="auto"/>
        </w:rPr>
      </w:pPr>
    </w:p>
    <w:p>
      <w:pPr>
        <w:ind w:left="220" w:hanging="215"/>
        <w:spacing w:after="0" w:line="266" w:lineRule="auto"/>
        <w:rPr>
          <w:sz w:val="20"/>
          <w:szCs w:val="20"/>
          <w:color w:val="auto"/>
        </w:rPr>
      </w:pPr>
      <w:r>
        <w:rPr>
          <w:rFonts w:ascii="Times New Roman" w:cs="Times New Roman" w:eastAsia="Times New Roman" w:hAnsi="Times New Roman"/>
          <w:sz w:val="12"/>
          <w:szCs w:val="12"/>
          <w:color w:val="auto"/>
        </w:rPr>
        <w:t>Adjustments to reconcile net loss to net cash provided by operating activities Depreciation and amortization</w:t>
      </w:r>
    </w:p>
    <w:p>
      <w:pPr>
        <w:ind w:left="220"/>
        <w:spacing w:after="0"/>
        <w:rPr>
          <w:sz w:val="20"/>
          <w:szCs w:val="20"/>
          <w:color w:val="auto"/>
        </w:rPr>
      </w:pPr>
      <w:r>
        <w:rPr>
          <w:rFonts w:ascii="Times New Roman" w:cs="Times New Roman" w:eastAsia="Times New Roman" w:hAnsi="Times New Roman"/>
          <w:sz w:val="12"/>
          <w:szCs w:val="12"/>
          <w:color w:val="auto"/>
        </w:rPr>
        <w:t>Deferred income taxes</w:t>
      </w:r>
    </w:p>
    <w:p>
      <w:pPr>
        <w:spacing w:after="0" w:line="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Net loss on disposition and others</w:t>
      </w:r>
    </w:p>
    <w:p>
      <w:pPr>
        <w:spacing w:after="0" w:line="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Other balance sheet changes</w:t>
      </w:r>
    </w:p>
    <w:p>
      <w:pPr>
        <w:spacing w:after="0" w:line="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Net cash used for operating activities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Acquisition of business, net of cash acquired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Additions to investments in unconsolidated subsidiaries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Additions to property, plant and equipment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Proceeds from maturities and paydown of available-for-sale securities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Purchase of available-for-sale securities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net</w:t>
      </w:r>
    </w:p>
    <w:p>
      <w:pPr>
        <w:spacing w:after="0" w:line="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Net cash used for investing activities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Distributions to noncontrolling interests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Dividends paid</w:t>
      </w:r>
    </w:p>
    <w:p>
      <w:pPr>
        <w:spacing w:after="0" w:line="15" w:lineRule="exact"/>
        <w:rPr>
          <w:sz w:val="20"/>
          <w:szCs w:val="20"/>
          <w:color w:val="auto"/>
        </w:rPr>
      </w:pPr>
    </w:p>
    <w:p>
      <w:pPr>
        <w:ind w:right="1680"/>
        <w:spacing w:after="0" w:line="272" w:lineRule="auto"/>
        <w:rPr>
          <w:sz w:val="20"/>
          <w:szCs w:val="20"/>
          <w:color w:val="auto"/>
        </w:rPr>
      </w:pPr>
      <w:r>
        <w:rPr>
          <w:rFonts w:ascii="Times New Roman" w:cs="Times New Roman" w:eastAsia="Times New Roman" w:hAnsi="Times New Roman"/>
          <w:sz w:val="12"/>
          <w:szCs w:val="12"/>
          <w:color w:val="auto"/>
        </w:rPr>
        <w:t>Repurchase of common stock for treasury Other, net</w:t>
      </w:r>
    </w:p>
    <w:p>
      <w:pPr>
        <w:ind w:left="440"/>
        <w:spacing w:after="0"/>
        <w:rPr>
          <w:sz w:val="20"/>
          <w:szCs w:val="20"/>
          <w:color w:val="auto"/>
        </w:rPr>
      </w:pPr>
      <w:r>
        <w:rPr>
          <w:rFonts w:ascii="Times New Roman" w:cs="Times New Roman" w:eastAsia="Times New Roman" w:hAnsi="Times New Roman"/>
          <w:sz w:val="12"/>
          <w:szCs w:val="12"/>
          <w:color w:val="auto"/>
        </w:rPr>
        <w:t>Net cash used for financing activities</w:t>
      </w:r>
    </w:p>
    <w:p>
      <w:pPr>
        <w:spacing w:after="0" w:line="2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2"/>
          <w:szCs w:val="12"/>
          <w:color w:val="auto"/>
        </w:rPr>
        <w:t>Effect of exchange rate changes on cash, cash equivalents and restricted cash Net decrease in cash, cash equivalents and restricted cash</w:t>
      </w:r>
    </w:p>
    <w:p>
      <w:pPr>
        <w:spacing w:after="0" w:line="1" w:lineRule="exact"/>
        <w:rPr>
          <w:sz w:val="20"/>
          <w:szCs w:val="20"/>
          <w:color w:val="auto"/>
        </w:rPr>
      </w:pPr>
    </w:p>
    <w:p>
      <w:pPr>
        <w:ind w:right="600"/>
        <w:spacing w:after="0" w:line="391" w:lineRule="auto"/>
        <w:rPr>
          <w:sz w:val="20"/>
          <w:szCs w:val="20"/>
          <w:color w:val="auto"/>
        </w:rPr>
      </w:pPr>
      <w:r>
        <w:rPr>
          <w:rFonts w:ascii="Times New Roman" w:cs="Times New Roman" w:eastAsia="Times New Roman" w:hAnsi="Times New Roman"/>
          <w:sz w:val="11"/>
          <w:szCs w:val="11"/>
          <w:color w:val="auto"/>
        </w:rPr>
        <w:t>Cash, cash equivalents and restricted cash at beginning of period Cash, cash equivalents and restricted cash at end of period</w:t>
      </w:r>
    </w:p>
    <w:p>
      <w:pPr>
        <w:spacing w:after="0" w:line="20" w:lineRule="exact"/>
        <w:rPr>
          <w:sz w:val="20"/>
          <w:szCs w:val="20"/>
          <w:color w:val="auto"/>
        </w:rPr>
      </w:pPr>
      <w:r>
        <w:rPr>
          <w:sz w:val="20"/>
          <w:szCs w:val="20"/>
          <w:color w:val="auto"/>
        </w:rPr>
        <w:br w:type="column"/>
      </w:r>
    </w:p>
    <w:p>
      <w:pPr>
        <w:ind w:left="1000"/>
        <w:spacing w:after="0"/>
        <w:rPr>
          <w:sz w:val="20"/>
          <w:szCs w:val="20"/>
          <w:color w:val="auto"/>
        </w:rPr>
      </w:pPr>
      <w:r>
        <w:rPr>
          <w:rFonts w:ascii="Times New Roman" w:cs="Times New Roman" w:eastAsia="Times New Roman" w:hAnsi="Times New Roman"/>
          <w:sz w:val="12"/>
          <w:szCs w:val="12"/>
          <w:b w:val="1"/>
          <w:bCs w:val="1"/>
          <w:color w:val="auto"/>
        </w:rPr>
        <w:t>WESTLAKE CORPORATION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8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p>
      <w:pPr>
        <w:spacing w:after="0" w:line="10" w:lineRule="exact"/>
        <w:rPr>
          <w:sz w:val="20"/>
          <w:szCs w:val="20"/>
          <w:color w:val="auto"/>
        </w:rPr>
      </w:pPr>
    </w:p>
    <w:tbl>
      <w:tblPr>
        <w:tblLayout w:type="fixed"/>
        <w:tblInd w:w="4480" w:type="dxa"/>
        <w:tblCellMar>
          <w:top w:w="0" w:type="dxa"/>
          <w:left w:w="0" w:type="dxa"/>
          <w:bottom w:w="0" w:type="dxa"/>
          <w:right w:w="0" w:type="dxa"/>
        </w:tblCellMar>
      </w:tblPr>
      <w:tr>
        <w:trPr>
          <w:trHeight w:val="136"/>
        </w:trPr>
        <w:tc>
          <w:tcPr>
            <w:tcW w:w="36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139"/>
        </w:trPr>
        <w:tc>
          <w:tcPr>
            <w:tcW w:w="360" w:type="dxa"/>
            <w:vAlign w:val="bottom"/>
          </w:tcPr>
          <w:p>
            <w:pPr>
              <w:spacing w:after="0"/>
              <w:rPr>
                <w:sz w:val="12"/>
                <w:szCs w:val="12"/>
                <w:color w:val="auto"/>
              </w:rPr>
            </w:pP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(in millions of dollars)</w:t>
            </w:r>
          </w:p>
        </w:tc>
        <w:tc>
          <w:tcPr>
            <w:tcW w:w="920" w:type="dxa"/>
            <w:vAlign w:val="bottom"/>
          </w:tcPr>
          <w:p>
            <w:pPr>
              <w:spacing w:after="0"/>
              <w:rPr>
                <w:sz w:val="12"/>
                <w:szCs w:val="12"/>
                <w:color w:val="auto"/>
              </w:rPr>
            </w:pPr>
          </w:p>
        </w:tc>
      </w:tr>
      <w:tr>
        <w:trPr>
          <w:trHeight w:val="323"/>
        </w:trPr>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80" w:type="dxa"/>
            <w:vAlign w:val="bottom"/>
          </w:tcPr>
          <w:p>
            <w:pPr>
              <w:spacing w:after="0"/>
              <w:rPr>
                <w:sz w:val="24"/>
                <w:szCs w:val="24"/>
                <w:color w:val="auto"/>
              </w:rPr>
            </w:pPr>
          </w:p>
        </w:tc>
        <w:tc>
          <w:tcPr>
            <w:tcW w:w="52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r>
      <w:tr>
        <w:trPr>
          <w:trHeight w:val="304"/>
        </w:trPr>
        <w:tc>
          <w:tcPr>
            <w:tcW w:w="360" w:type="dxa"/>
            <w:vAlign w:val="bottom"/>
          </w:tcPr>
          <w:p>
            <w:pPr>
              <w:spacing w:after="0"/>
              <w:rPr>
                <w:sz w:val="24"/>
                <w:szCs w:val="24"/>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284</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w:t>
            </w:r>
          </w:p>
        </w:tc>
      </w:tr>
      <w:tr>
        <w:trPr>
          <w:trHeight w:val="153"/>
        </w:trPr>
        <w:tc>
          <w:tcPr>
            <w:tcW w:w="36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153"/>
        </w:trPr>
        <w:tc>
          <w:tcPr>
            <w:tcW w:w="36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155"/>
        </w:trPr>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(264)</w:t>
            </w:r>
          </w:p>
        </w:tc>
        <w:tc>
          <w:tcPr>
            <w:tcW w:w="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(336)</w:t>
            </w:r>
          </w:p>
        </w:tc>
      </w:tr>
      <w:tr>
        <w:trPr>
          <w:trHeight w:val="142"/>
        </w:trPr>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w:t>
            </w:r>
          </w:p>
        </w:tc>
      </w:tr>
      <w:tr>
        <w:trPr>
          <w:trHeight w:val="284"/>
        </w:trPr>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36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153"/>
        </w:trPr>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w:t>
            </w:r>
          </w:p>
        </w:tc>
      </w:tr>
      <w:tr>
        <w:trPr>
          <w:trHeight w:val="153"/>
        </w:trPr>
        <w:tc>
          <w:tcPr>
            <w:tcW w:w="36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w:t>
            </w:r>
          </w:p>
        </w:tc>
      </w:tr>
      <w:tr>
        <w:trPr>
          <w:trHeight w:val="155"/>
        </w:trPr>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42"/>
        </w:trPr>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(271)</w:t>
            </w:r>
          </w:p>
        </w:tc>
        <w:tc>
          <w:tcPr>
            <w:tcW w:w="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(434)</w:t>
            </w:r>
          </w:p>
        </w:tc>
      </w:tr>
      <w:tr>
        <w:trPr>
          <w:trHeight w:val="284"/>
        </w:trPr>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153"/>
        </w:trPr>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153"/>
        </w:trPr>
        <w:tc>
          <w:tcPr>
            <w:tcW w:w="36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55"/>
        </w:trPr>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w:t>
            </w:r>
          </w:p>
        </w:tc>
      </w:tr>
      <w:tr>
        <w:trPr>
          <w:trHeight w:val="142"/>
        </w:trPr>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w:t>
            </w:r>
          </w:p>
        </w:tc>
      </w:tr>
      <w:tr>
        <w:trPr>
          <w:trHeight w:val="140"/>
        </w:trPr>
        <w:tc>
          <w:tcPr>
            <w:tcW w:w="3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153"/>
        </w:trPr>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(452)</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(622)</w:t>
            </w:r>
          </w:p>
        </w:tc>
      </w:tr>
      <w:tr>
        <w:trPr>
          <w:trHeight w:val="155"/>
        </w:trPr>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2,740</w:t>
            </w:r>
          </w:p>
        </w:tc>
        <w:tc>
          <w:tcPr>
            <w:tcW w:w="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2,935</w:t>
            </w:r>
          </w:p>
        </w:tc>
      </w:tr>
      <w:tr>
        <w:trPr>
          <w:trHeight w:val="142"/>
        </w:trPr>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2,288</w:t>
            </w:r>
          </w:p>
        </w:tc>
        <w:tc>
          <w:tcPr>
            <w:tcW w:w="80" w:type="dxa"/>
            <w:vAlign w:val="bottom"/>
          </w:tcPr>
          <w:p>
            <w:pPr>
              <w:spacing w:after="0"/>
              <w:rPr>
                <w:sz w:val="12"/>
                <w:szCs w:val="12"/>
                <w:color w:val="auto"/>
              </w:rPr>
            </w:pPr>
          </w:p>
        </w:tc>
        <w:tc>
          <w:tcPr>
            <w:tcW w:w="5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2,313</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-2442845</wp:posOffset>
            </wp:positionH>
            <wp:positionV relativeFrom="paragraph">
              <wp:posOffset>-2576830</wp:posOffset>
            </wp:positionV>
            <wp:extent cx="7166610" cy="97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-2382520</wp:posOffset>
            </wp:positionV>
            <wp:extent cx="7166610" cy="97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-2188210</wp:posOffset>
            </wp:positionV>
            <wp:extent cx="7166610" cy="97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-1993900</wp:posOffset>
            </wp:positionV>
            <wp:extent cx="7166610" cy="97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-1793875</wp:posOffset>
            </wp:positionV>
            <wp:extent cx="7166610" cy="97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-1599565</wp:posOffset>
            </wp:positionV>
            <wp:extent cx="7166610" cy="97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-1405255</wp:posOffset>
            </wp:positionV>
            <wp:extent cx="7166610" cy="97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-1210945</wp:posOffset>
            </wp:positionV>
            <wp:extent cx="7166610" cy="97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-1010920</wp:posOffset>
            </wp:positionV>
            <wp:extent cx="7166610" cy="97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-816610</wp:posOffset>
            </wp:positionV>
            <wp:extent cx="7166610" cy="97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-622300</wp:posOffset>
            </wp:positionV>
            <wp:extent cx="7166610" cy="97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-422275</wp:posOffset>
            </wp:positionV>
            <wp:extent cx="7166610"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6610" cy="102870"/>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-222250</wp:posOffset>
            </wp:positionV>
            <wp:extent cx="7166610" cy="971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line="37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viii</w:t>
      </w:r>
    </w:p>
    <w:p>
      <w:pPr>
        <w:sectPr>
          <w:pgSz w:w="11900" w:h="16838" w:orient="portrait"/>
          <w:cols w:equalWidth="0" w:num="2">
            <w:col w:w="3700" w:space="140"/>
            <w:col w:w="7440"/>
          </w:cols>
          <w:pgMar w:left="300" w:top="800" w:right="319" w:bottom="1440" w:gutter="0" w:footer="0" w:header="0"/>
        </w:sectPr>
      </w:pPr>
    </w:p>
    <w:bookmarkStart w:id="12" w:name="page13"/>
    <w:bookmarkEnd w:id="12"/>
    <w:p>
      <w:pPr>
        <w:ind w:left="4840"/>
        <w:spacing w:after="0"/>
        <w:rPr>
          <w:sz w:val="20"/>
          <w:szCs w:val="20"/>
          <w:color w:val="auto"/>
        </w:rPr>
      </w:pPr>
      <w:r>
        <w:rPr>
          <w:rFonts w:ascii="Times New Roman" w:cs="Times New Roman" w:eastAsia="Times New Roman" w:hAnsi="Times New Roman"/>
          <w:sz w:val="12"/>
          <w:szCs w:val="12"/>
          <w:b w:val="1"/>
          <w:bCs w:val="1"/>
          <w:color w:val="auto"/>
        </w:rPr>
        <w:t>WESTLAKE CORPORATION</w:t>
      </w:r>
    </w:p>
    <w:p>
      <w:pPr>
        <w:spacing w:after="0" w:line="11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b w:val="1"/>
          <w:bCs w:val="1"/>
          <w:color w:val="auto"/>
        </w:rPr>
        <w:t>SEGMENT INFORMATION</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3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4"/>
              </w:rPr>
              <w:t>Three Months Ended March 31,</w:t>
            </w:r>
          </w:p>
        </w:tc>
        <w:tc>
          <w:tcPr>
            <w:tcW w:w="820" w:type="dxa"/>
            <w:vAlign w:val="bottom"/>
            <w:tcBorders>
              <w:bottom w:val="single" w:sz="8" w:color="auto"/>
            </w:tcBorders>
          </w:tcPr>
          <w:p>
            <w:pPr>
              <w:spacing w:after="0"/>
              <w:rPr>
                <w:sz w:val="11"/>
                <w:szCs w:val="11"/>
                <w:color w:val="auto"/>
              </w:rPr>
            </w:pPr>
          </w:p>
        </w:tc>
      </w:tr>
      <w:tr>
        <w:trPr>
          <w:trHeight w:val="128"/>
        </w:trPr>
        <w:tc>
          <w:tcPr>
            <w:tcW w:w="8340" w:type="dxa"/>
            <w:vAlign w:val="bottom"/>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2026</w:t>
            </w: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w w:val="89"/>
              </w:rPr>
              <w:t>2025</w:t>
            </w:r>
          </w:p>
        </w:tc>
      </w:tr>
      <w:tr>
        <w:trPr>
          <w:trHeight w:val="147"/>
        </w:trPr>
        <w:tc>
          <w:tcPr>
            <w:tcW w:w="8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(in millions of dollars)</w:t>
            </w:r>
          </w:p>
        </w:tc>
        <w:tc>
          <w:tcPr>
            <w:tcW w:w="820" w:type="dxa"/>
            <w:vAlign w:val="bottom"/>
          </w:tcPr>
          <w:p>
            <w:pPr>
              <w:spacing w:after="0"/>
              <w:rPr>
                <w:sz w:val="12"/>
                <w:szCs w:val="12"/>
                <w:color w:val="auto"/>
              </w:rPr>
            </w:pPr>
          </w:p>
        </w:tc>
      </w:tr>
      <w:tr>
        <w:trPr>
          <w:trHeight w:val="162"/>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external sales</w:t>
            </w:r>
          </w:p>
        </w:tc>
        <w:tc>
          <w:tcPr>
            <w:tcW w:w="8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53"/>
        </w:trPr>
        <w:tc>
          <w:tcPr>
            <w:tcW w:w="8340" w:type="dxa"/>
            <w:vAlign w:val="bottom"/>
          </w:tcPr>
          <w:p>
            <w:pPr>
              <w:spacing w:after="0"/>
              <w:rPr>
                <w:sz w:val="20"/>
                <w:szCs w:val="20"/>
                <w:color w:val="auto"/>
              </w:rPr>
            </w:pPr>
            <w:r>
              <w:rPr>
                <w:rFonts w:ascii="Times New Roman" w:cs="Times New Roman" w:eastAsia="Times New Roman" w:hAnsi="Times New Roman"/>
                <w:sz w:val="12"/>
                <w:szCs w:val="12"/>
                <w:color w:val="auto"/>
              </w:rPr>
              <w:t>Housing and Infrastructure Products</w:t>
            </w: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3"/>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Housing Products</w:t>
            </w:r>
          </w:p>
        </w:tc>
        <w:tc>
          <w:tcPr>
            <w:tcW w:w="82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788</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838</w:t>
            </w:r>
          </w:p>
        </w:tc>
      </w:tr>
      <w:tr>
        <w:trPr>
          <w:trHeight w:val="153"/>
        </w:trPr>
        <w:tc>
          <w:tcPr>
            <w:tcW w:w="8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Infrastructure Products</w:t>
            </w:r>
          </w:p>
        </w:tc>
        <w:tc>
          <w:tcPr>
            <w:tcW w:w="8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205</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158</w:t>
            </w:r>
          </w:p>
        </w:tc>
      </w:tr>
      <w:tr>
        <w:trPr>
          <w:trHeight w:val="142"/>
        </w:trPr>
        <w:tc>
          <w:tcPr>
            <w:tcW w:w="8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Total Housing and Infrastructure Products</w:t>
            </w:r>
          </w:p>
        </w:tc>
        <w:tc>
          <w:tcPr>
            <w:tcW w:w="8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993</w:t>
            </w:r>
          </w:p>
        </w:tc>
        <w:tc>
          <w:tcPr>
            <w:tcW w:w="8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996</w:t>
            </w:r>
          </w:p>
        </w:tc>
      </w:tr>
      <w:tr>
        <w:trPr>
          <w:trHeight w:val="133"/>
        </w:trPr>
        <w:tc>
          <w:tcPr>
            <w:tcW w:w="83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Performance and Essential Materials</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53"/>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Performance Materials</w:t>
            </w:r>
          </w:p>
        </w:tc>
        <w:tc>
          <w:tcPr>
            <w:tcW w:w="8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1,003</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1,056</w:t>
            </w:r>
          </w:p>
        </w:tc>
      </w:tr>
      <w:tr>
        <w:trPr>
          <w:trHeight w:val="153"/>
        </w:trPr>
        <w:tc>
          <w:tcPr>
            <w:tcW w:w="8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Essential Materials</w:t>
            </w:r>
          </w:p>
        </w:tc>
        <w:tc>
          <w:tcPr>
            <w:tcW w:w="8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656</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794</w:t>
            </w:r>
          </w:p>
        </w:tc>
      </w:tr>
      <w:tr>
        <w:trPr>
          <w:trHeight w:val="142"/>
        </w:trPr>
        <w:tc>
          <w:tcPr>
            <w:tcW w:w="8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Total Performance and Essential Materials</w:t>
            </w:r>
          </w:p>
        </w:tc>
        <w:tc>
          <w:tcPr>
            <w:tcW w:w="8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1,659</w:t>
            </w:r>
          </w:p>
        </w:tc>
        <w:tc>
          <w:tcPr>
            <w:tcW w:w="8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1,850</w:t>
            </w:r>
          </w:p>
        </w:tc>
      </w:tr>
      <w:tr>
        <w:trPr>
          <w:trHeight w:val="158"/>
        </w:trPr>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reportable segments and consolidated</w:t>
            </w:r>
          </w:p>
        </w:tc>
        <w:tc>
          <w:tcPr>
            <w:tcW w:w="82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2,652</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2,846</w:t>
            </w:r>
          </w:p>
        </w:tc>
      </w:tr>
      <w:tr>
        <w:trPr>
          <w:trHeight w:val="153"/>
        </w:trPr>
        <w:tc>
          <w:tcPr>
            <w:tcW w:w="83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53"/>
        </w:trPr>
        <w:tc>
          <w:tcPr>
            <w:tcW w:w="8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from operations</w:t>
            </w: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3"/>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Housing and Infrastructure Products</w:t>
            </w:r>
          </w:p>
        </w:tc>
        <w:tc>
          <w:tcPr>
            <w:tcW w:w="82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56</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148</w:t>
            </w:r>
          </w:p>
        </w:tc>
      </w:tr>
      <w:tr>
        <w:trPr>
          <w:trHeight w:val="153"/>
        </w:trPr>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Performance and Essential Materials</w:t>
            </w:r>
          </w:p>
        </w:tc>
        <w:tc>
          <w:tcPr>
            <w:tcW w:w="8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(163)</w:t>
            </w:r>
          </w:p>
        </w:tc>
      </w:tr>
      <w:tr>
        <w:trPr>
          <w:trHeight w:val="142"/>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reportable segments</w:t>
            </w:r>
          </w:p>
        </w:tc>
        <w:tc>
          <w:tcPr>
            <w:tcW w:w="8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53"/>
        </w:trPr>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Corporate and other</w:t>
            </w:r>
          </w:p>
        </w:tc>
        <w:tc>
          <w:tcPr>
            <w:tcW w:w="8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58"/>
        </w:trPr>
        <w:tc>
          <w:tcPr>
            <w:tcW w:w="8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Consolidated</w:t>
            </w:r>
          </w:p>
        </w:tc>
        <w:tc>
          <w:tcPr>
            <w:tcW w:w="820" w:type="dxa"/>
            <w:vAlign w:val="bottom"/>
            <w:tcBorders>
              <w:bottom w:val="single" w:sz="8" w:color="auto"/>
            </w:tcBorders>
            <w:shd w:val="clear" w:color="auto" w:fill="CCEEFF"/>
          </w:tcPr>
          <w:p>
            <w:pPr>
              <w:jc w:val="right"/>
              <w:ind w:right="681"/>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r>
      <w:tr>
        <w:trPr>
          <w:trHeight w:val="153"/>
        </w:trPr>
        <w:tc>
          <w:tcPr>
            <w:tcW w:w="8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3"/>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Depreciation and amortization</w:t>
            </w:r>
          </w:p>
        </w:tc>
        <w:tc>
          <w:tcPr>
            <w:tcW w:w="8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53"/>
        </w:trPr>
        <w:tc>
          <w:tcPr>
            <w:tcW w:w="8340" w:type="dxa"/>
            <w:vAlign w:val="bottom"/>
          </w:tcPr>
          <w:p>
            <w:pPr>
              <w:spacing w:after="0"/>
              <w:rPr>
                <w:sz w:val="20"/>
                <w:szCs w:val="20"/>
                <w:color w:val="auto"/>
              </w:rPr>
            </w:pPr>
            <w:r>
              <w:rPr>
                <w:rFonts w:ascii="Times New Roman" w:cs="Times New Roman" w:eastAsia="Times New Roman" w:hAnsi="Times New Roman"/>
                <w:sz w:val="12"/>
                <w:szCs w:val="12"/>
                <w:color w:val="auto"/>
              </w:rPr>
              <w:t>Housing and Infrastructure Products</w:t>
            </w:r>
          </w:p>
        </w:tc>
        <w:tc>
          <w:tcPr>
            <w:tcW w:w="820" w:type="dxa"/>
            <w:vAlign w:val="bottom"/>
          </w:tcPr>
          <w:p>
            <w:pPr>
              <w:jc w:val="right"/>
              <w:ind w:right="681"/>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60</w:t>
            </w:r>
          </w:p>
        </w:tc>
        <w:tc>
          <w:tcPr>
            <w:tcW w:w="80" w:type="dxa"/>
            <w:vAlign w:val="bottom"/>
          </w:tcPr>
          <w:p>
            <w:pPr>
              <w:spacing w:after="0"/>
              <w:rPr>
                <w:sz w:val="13"/>
                <w:szCs w:val="13"/>
                <w:color w:val="auto"/>
              </w:rPr>
            </w:pPr>
          </w:p>
        </w:tc>
        <w:tc>
          <w:tcPr>
            <w:tcW w:w="620" w:type="dxa"/>
            <w:vAlign w:val="bottom"/>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53</w:t>
            </w:r>
          </w:p>
        </w:tc>
      </w:tr>
      <w:tr>
        <w:trPr>
          <w:trHeight w:val="153"/>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Performance and Essential Materials</w:t>
            </w:r>
          </w:p>
        </w:tc>
        <w:tc>
          <w:tcPr>
            <w:tcW w:w="8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221</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227</w:t>
            </w:r>
          </w:p>
        </w:tc>
      </w:tr>
      <w:tr>
        <w:trPr>
          <w:trHeight w:val="142"/>
        </w:trPr>
        <w:tc>
          <w:tcPr>
            <w:tcW w:w="8340" w:type="dxa"/>
            <w:vAlign w:val="bottom"/>
          </w:tcPr>
          <w:p>
            <w:pPr>
              <w:spacing w:after="0"/>
              <w:rPr>
                <w:sz w:val="20"/>
                <w:szCs w:val="20"/>
                <w:color w:val="auto"/>
              </w:rPr>
            </w:pPr>
            <w:r>
              <w:rPr>
                <w:rFonts w:ascii="Times New Roman" w:cs="Times New Roman" w:eastAsia="Times New Roman" w:hAnsi="Times New Roman"/>
                <w:sz w:val="12"/>
                <w:szCs w:val="12"/>
                <w:color w:val="auto"/>
              </w:rPr>
              <w:t>Total reportable segments</w:t>
            </w:r>
          </w:p>
        </w:tc>
        <w:tc>
          <w:tcPr>
            <w:tcW w:w="820" w:type="dxa"/>
            <w:vAlign w:val="bottom"/>
          </w:tcPr>
          <w:p>
            <w:pPr>
              <w:spacing w:after="0"/>
              <w:rPr>
                <w:sz w:val="12"/>
                <w:szCs w:val="12"/>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281</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280</w:t>
            </w:r>
          </w:p>
        </w:tc>
      </w:tr>
      <w:tr>
        <w:trPr>
          <w:trHeight w:val="153"/>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and other</w:t>
            </w:r>
          </w:p>
        </w:tc>
        <w:tc>
          <w:tcPr>
            <w:tcW w:w="8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w:t>
            </w:r>
          </w:p>
        </w:tc>
      </w:tr>
      <w:tr>
        <w:trPr>
          <w:trHeight w:val="158"/>
        </w:trPr>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Consolidated</w:t>
            </w:r>
          </w:p>
        </w:tc>
        <w:tc>
          <w:tcPr>
            <w:tcW w:w="82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284</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283</w:t>
            </w:r>
          </w:p>
        </w:tc>
      </w:tr>
      <w:tr>
        <w:trPr>
          <w:trHeight w:val="153"/>
        </w:trPr>
        <w:tc>
          <w:tcPr>
            <w:tcW w:w="83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53"/>
        </w:trPr>
        <w:tc>
          <w:tcPr>
            <w:tcW w:w="8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income, net</w:t>
            </w: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3"/>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Housing and Infrastructure Products</w:t>
            </w:r>
          </w:p>
        </w:tc>
        <w:tc>
          <w:tcPr>
            <w:tcW w:w="82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w:t>
            </w:r>
          </w:p>
        </w:tc>
      </w:tr>
      <w:tr>
        <w:trPr>
          <w:trHeight w:val="153"/>
        </w:trPr>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Performance and Essential Materials</w:t>
            </w:r>
          </w:p>
        </w:tc>
        <w:tc>
          <w:tcPr>
            <w:tcW w:w="8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9</w:t>
            </w:r>
          </w:p>
        </w:tc>
      </w:tr>
      <w:tr>
        <w:trPr>
          <w:trHeight w:val="142"/>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reportable segments</w:t>
            </w:r>
          </w:p>
        </w:tc>
        <w:tc>
          <w:tcPr>
            <w:tcW w:w="8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w:t>
            </w:r>
          </w:p>
        </w:tc>
      </w:tr>
      <w:tr>
        <w:trPr>
          <w:trHeight w:val="153"/>
        </w:trPr>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Corporate and other</w:t>
            </w:r>
          </w:p>
        </w:tc>
        <w:tc>
          <w:tcPr>
            <w:tcW w:w="8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26</w:t>
            </w:r>
          </w:p>
        </w:tc>
      </w:tr>
      <w:tr>
        <w:trPr>
          <w:trHeight w:val="158"/>
        </w:trPr>
        <w:tc>
          <w:tcPr>
            <w:tcW w:w="8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Consolidated</w:t>
            </w:r>
          </w:p>
        </w:tc>
        <w:tc>
          <w:tcPr>
            <w:tcW w:w="820" w:type="dxa"/>
            <w:vAlign w:val="bottom"/>
            <w:tcBorders>
              <w:bottom w:val="single" w:sz="8" w:color="auto"/>
            </w:tcBorders>
            <w:shd w:val="clear" w:color="auto" w:fill="CCEEFF"/>
          </w:tcPr>
          <w:p>
            <w:pPr>
              <w:jc w:val="right"/>
              <w:ind w:right="681"/>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37</w:t>
            </w:r>
          </w:p>
        </w:tc>
      </w:tr>
    </w:tbl>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ix</w:t>
      </w:r>
    </w:p>
    <w:p>
      <w:pPr>
        <w:sectPr>
          <w:pgSz w:w="11900" w:h="16838" w:orient="portrait"/>
          <w:cols w:equalWidth="0" w:num="1">
            <w:col w:w="11300"/>
          </w:cols>
          <w:pgMar w:left="300" w:top="800" w:right="299" w:bottom="1440" w:gutter="0" w:footer="0" w:header="0"/>
        </w:sectPr>
      </w:pPr>
    </w:p>
    <w:bookmarkStart w:id="13" w:name="page14"/>
    <w:bookmarkEnd w:id="13"/>
    <w:p>
      <w:pPr>
        <w:ind w:left="4840"/>
        <w:spacing w:after="0"/>
        <w:rPr>
          <w:sz w:val="20"/>
          <w:szCs w:val="20"/>
          <w:color w:val="auto"/>
        </w:rPr>
      </w:pPr>
      <w:r>
        <w:rPr>
          <w:rFonts w:ascii="Times New Roman" w:cs="Times New Roman" w:eastAsia="Times New Roman" w:hAnsi="Times New Roman"/>
          <w:sz w:val="12"/>
          <w:szCs w:val="12"/>
          <w:b w:val="1"/>
          <w:bCs w:val="1"/>
          <w:color w:val="auto"/>
        </w:rPr>
        <w:t>WESTLAKE CORPORATION</w:t>
      </w:r>
    </w:p>
    <w:p>
      <w:pPr>
        <w:spacing w:after="0" w:line="11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2"/>
          <w:szCs w:val="12"/>
          <w:b w:val="1"/>
          <w:bCs w:val="1"/>
          <w:color w:val="auto"/>
        </w:rPr>
        <w:t>RECONCILIATION OF EBITDA TO NET LOSS, LOSS FROM OPERATIONS AND</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NET CASH PROVIDED BY (USED FOR) OPERATING ACTIVITIES (INCLUDING AND EXCLUDING IDENTIFIED ITEMS)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20" w:type="dxa"/>
            <w:vAlign w:val="bottom"/>
          </w:tcPr>
          <w:p>
            <w:pPr>
              <w:spacing w:after="0"/>
              <w:rPr>
                <w:sz w:val="10"/>
                <w:szCs w:val="10"/>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Three Months Ended December</w:t>
            </w:r>
          </w:p>
        </w:tc>
        <w:tc>
          <w:tcPr>
            <w:tcW w:w="340" w:type="dxa"/>
            <w:vAlign w:val="bottom"/>
          </w:tcPr>
          <w:p>
            <w:pPr>
              <w:spacing w:after="0"/>
              <w:rPr>
                <w:sz w:val="10"/>
                <w:szCs w:val="10"/>
                <w:color w:val="auto"/>
              </w:rPr>
            </w:pPr>
          </w:p>
        </w:tc>
        <w:tc>
          <w:tcPr>
            <w:tcW w:w="1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820" w:type="dxa"/>
            <w:vAlign w:val="bottom"/>
          </w:tcPr>
          <w:p>
            <w:pPr>
              <w:spacing w:after="0"/>
              <w:rPr>
                <w:sz w:val="11"/>
                <w:szCs w:val="11"/>
                <w:color w:val="auto"/>
              </w:rPr>
            </w:pPr>
          </w:p>
        </w:tc>
        <w:tc>
          <w:tcPr>
            <w:tcW w:w="94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0"/>
                <w:szCs w:val="10"/>
                <w:b w:val="1"/>
                <w:bCs w:val="1"/>
                <w:color w:val="auto"/>
              </w:rPr>
              <w:t>31,</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3"/>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6820" w:type="dxa"/>
            <w:vAlign w:val="bottom"/>
          </w:tcPr>
          <w:p>
            <w:pPr>
              <w:spacing w:after="0"/>
              <w:rPr>
                <w:sz w:val="10"/>
                <w:szCs w:val="10"/>
                <w:color w:val="auto"/>
              </w:rPr>
            </w:pPr>
          </w:p>
        </w:tc>
        <w:tc>
          <w:tcPr>
            <w:tcW w:w="9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0"/>
                <w:szCs w:val="10"/>
                <w:b w:val="1"/>
                <w:bCs w:val="1"/>
                <w:color w:val="auto"/>
              </w:rPr>
              <w:t>2025</w:t>
            </w: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0" w:type="dxa"/>
            <w:vAlign w:val="bottom"/>
          </w:tcPr>
          <w:p>
            <w:pPr>
              <w:spacing w:after="0"/>
              <w:rPr>
                <w:sz w:val="1"/>
                <w:szCs w:val="1"/>
                <w:color w:val="auto"/>
              </w:rPr>
            </w:pPr>
          </w:p>
        </w:tc>
      </w:tr>
      <w:tr>
        <w:trPr>
          <w:trHeight w:val="147"/>
        </w:trPr>
        <w:tc>
          <w:tcPr>
            <w:tcW w:w="6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720" w:type="dxa"/>
            <w:vAlign w:val="bottom"/>
            <w:gridSpan w:val="6"/>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(in millions of dollars, except percentages)</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cash provided by (used for) operating activities</w:t>
            </w:r>
          </w:p>
        </w:tc>
        <w:tc>
          <w:tcPr>
            <w:tcW w:w="940" w:type="dxa"/>
            <w:vAlign w:val="bottom"/>
            <w:shd w:val="clear" w:color="auto" w:fill="CCEEFF"/>
          </w:tcPr>
          <w:p>
            <w:pPr>
              <w:jc w:val="right"/>
              <w:ind w:right="805"/>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225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0" w:type="dxa"/>
            <w:vAlign w:val="bottom"/>
          </w:tcPr>
          <w:p>
            <w:pPr>
              <w:spacing w:after="0"/>
              <w:rPr>
                <w:sz w:val="1"/>
                <w:szCs w:val="1"/>
                <w:color w:val="auto"/>
              </w:rPr>
            </w:pPr>
          </w:p>
        </w:tc>
      </w:tr>
      <w:tr>
        <w:trPr>
          <w:trHeight w:val="153"/>
        </w:trPr>
        <w:tc>
          <w:tcPr>
            <w:tcW w:w="68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Changes in operating assets and liabilities and other</w:t>
            </w:r>
          </w:p>
        </w:tc>
        <w:tc>
          <w:tcPr>
            <w:tcW w:w="9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41</w:t>
            </w:r>
          </w:p>
        </w:tc>
        <w:tc>
          <w:tcPr>
            <w:tcW w:w="0" w:type="dxa"/>
            <w:vAlign w:val="bottom"/>
          </w:tcPr>
          <w:p>
            <w:pPr>
              <w:spacing w:after="0"/>
              <w:rPr>
                <w:sz w:val="1"/>
                <w:szCs w:val="1"/>
                <w:color w:val="auto"/>
              </w:rPr>
            </w:pPr>
          </w:p>
        </w:tc>
      </w:tr>
      <w:tr>
        <w:trPr>
          <w:trHeight w:val="15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Deferred income taxes</w:t>
            </w:r>
          </w:p>
        </w:tc>
        <w:tc>
          <w:tcPr>
            <w:tcW w:w="9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217</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9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(533)</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0" w:type="dxa"/>
            <w:vAlign w:val="bottom"/>
          </w:tcPr>
          <w:p>
            <w:pPr>
              <w:spacing w:after="0"/>
              <w:rPr>
                <w:sz w:val="1"/>
                <w:szCs w:val="1"/>
                <w:color w:val="auto"/>
              </w:rPr>
            </w:pPr>
          </w:p>
        </w:tc>
      </w:tr>
      <w:tr>
        <w:trPr>
          <w:trHeight w:val="133"/>
        </w:trPr>
        <w:tc>
          <w:tcPr>
            <w:tcW w:w="68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Add:</w:t>
            </w:r>
          </w:p>
        </w:tc>
        <w:tc>
          <w:tcPr>
            <w:tcW w:w="9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Identified Items, after-tax</w:t>
            </w:r>
          </w:p>
        </w:tc>
        <w:tc>
          <w:tcPr>
            <w:tcW w:w="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413</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69</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58"/>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 excl. Identified Items</w:t>
            </w:r>
          </w:p>
        </w:tc>
        <w:tc>
          <w:tcPr>
            <w:tcW w:w="940" w:type="dxa"/>
            <w:vAlign w:val="bottom"/>
            <w:tcBorders>
              <w:bottom w:val="single" w:sz="8" w:color="auto"/>
            </w:tcBorders>
            <w:shd w:val="clear" w:color="auto" w:fill="CCEEFF"/>
          </w:tcPr>
          <w:p>
            <w:pPr>
              <w:jc w:val="right"/>
              <w:ind w:right="805"/>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0" w:type="dxa"/>
            <w:vAlign w:val="bottom"/>
          </w:tcPr>
          <w:p>
            <w:pPr>
              <w:spacing w:after="0"/>
              <w:rPr>
                <w:sz w:val="1"/>
                <w:szCs w:val="1"/>
                <w:color w:val="auto"/>
              </w:rPr>
            </w:pPr>
          </w:p>
        </w:tc>
      </w:tr>
      <w:tr>
        <w:trPr>
          <w:trHeight w:val="153"/>
        </w:trPr>
        <w:tc>
          <w:tcPr>
            <w:tcW w:w="6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9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(533)</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0" w:type="dxa"/>
            <w:vAlign w:val="bottom"/>
          </w:tcPr>
          <w:p>
            <w:pPr>
              <w:spacing w:after="0"/>
              <w:rPr>
                <w:sz w:val="1"/>
                <w:szCs w:val="1"/>
                <w:color w:val="auto"/>
              </w:rPr>
            </w:pPr>
          </w:p>
        </w:tc>
      </w:tr>
      <w:tr>
        <w:trPr>
          <w:trHeight w:val="153"/>
        </w:trPr>
        <w:tc>
          <w:tcPr>
            <w:tcW w:w="6820" w:type="dxa"/>
            <w:vAlign w:val="bottom"/>
          </w:tcPr>
          <w:p>
            <w:pPr>
              <w:spacing w:after="0"/>
              <w:rPr>
                <w:sz w:val="20"/>
                <w:szCs w:val="20"/>
                <w:color w:val="auto"/>
              </w:rPr>
            </w:pPr>
            <w:r>
              <w:rPr>
                <w:rFonts w:ascii="Times New Roman" w:cs="Times New Roman" w:eastAsia="Times New Roman" w:hAnsi="Times New Roman"/>
                <w:sz w:val="12"/>
                <w:szCs w:val="12"/>
                <w:color w:val="auto"/>
              </w:rPr>
              <w:t>Less:</w:t>
            </w: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Other income, net</w:t>
            </w:r>
          </w:p>
        </w:tc>
        <w:tc>
          <w:tcPr>
            <w:tcW w:w="94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59</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153"/>
        </w:trPr>
        <w:tc>
          <w:tcPr>
            <w:tcW w:w="68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Interest expense</w:t>
            </w:r>
          </w:p>
        </w:tc>
        <w:tc>
          <w:tcPr>
            <w:tcW w:w="9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0" w:type="dxa"/>
            <w:vAlign w:val="bottom"/>
          </w:tcPr>
          <w:p>
            <w:pPr>
              <w:spacing w:after="0"/>
              <w:rPr>
                <w:sz w:val="1"/>
                <w:szCs w:val="1"/>
                <w:color w:val="auto"/>
              </w:rPr>
            </w:pPr>
          </w:p>
        </w:tc>
      </w:tr>
      <w:tr>
        <w:trPr>
          <w:trHeight w:val="15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Benefit from (provision for) income taxes</w:t>
            </w:r>
          </w:p>
        </w:tc>
        <w:tc>
          <w:tcPr>
            <w:tcW w:w="9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130</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Loss from operations</w:t>
            </w:r>
          </w:p>
        </w:tc>
        <w:tc>
          <w:tcPr>
            <w:tcW w:w="9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(671)</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0" w:type="dxa"/>
            <w:vAlign w:val="bottom"/>
          </w:tcPr>
          <w:p>
            <w:pPr>
              <w:spacing w:after="0"/>
              <w:rPr>
                <w:sz w:val="1"/>
                <w:szCs w:val="1"/>
                <w:color w:val="auto"/>
              </w:rPr>
            </w:pPr>
          </w:p>
        </w:tc>
      </w:tr>
      <w:tr>
        <w:trPr>
          <w:trHeight w:val="133"/>
        </w:trPr>
        <w:tc>
          <w:tcPr>
            <w:tcW w:w="68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Add:</w:t>
            </w:r>
          </w:p>
        </w:tc>
        <w:tc>
          <w:tcPr>
            <w:tcW w:w="9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Identified Items, pre-tax</w:t>
            </w:r>
          </w:p>
        </w:tc>
        <w:tc>
          <w:tcPr>
            <w:tcW w:w="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511</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85</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42"/>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 from operations excl. Identified Items</w:t>
            </w:r>
          </w:p>
        </w:tc>
        <w:tc>
          <w:tcPr>
            <w:tcW w:w="9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153"/>
        </w:trPr>
        <w:tc>
          <w:tcPr>
            <w:tcW w:w="6820" w:type="dxa"/>
            <w:vAlign w:val="bottom"/>
          </w:tcPr>
          <w:p>
            <w:pPr>
              <w:spacing w:after="0"/>
              <w:rPr>
                <w:sz w:val="20"/>
                <w:szCs w:val="20"/>
                <w:color w:val="auto"/>
              </w:rPr>
            </w:pPr>
            <w:r>
              <w:rPr>
                <w:rFonts w:ascii="Times New Roman" w:cs="Times New Roman" w:eastAsia="Times New Roman" w:hAnsi="Times New Roman"/>
                <w:sz w:val="12"/>
                <w:szCs w:val="12"/>
                <w:color w:val="auto"/>
              </w:rPr>
              <w:t>Add:</w:t>
            </w: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4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297</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284</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283</w:t>
            </w:r>
          </w:p>
        </w:tc>
        <w:tc>
          <w:tcPr>
            <w:tcW w:w="0" w:type="dxa"/>
            <w:vAlign w:val="bottom"/>
          </w:tcPr>
          <w:p>
            <w:pPr>
              <w:spacing w:after="0"/>
              <w:rPr>
                <w:sz w:val="1"/>
                <w:szCs w:val="1"/>
                <w:color w:val="auto"/>
              </w:rPr>
            </w:pPr>
          </w:p>
        </w:tc>
      </w:tr>
      <w:tr>
        <w:trPr>
          <w:trHeight w:val="153"/>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Other income, net</w:t>
            </w:r>
          </w:p>
        </w:tc>
        <w:tc>
          <w:tcPr>
            <w:tcW w:w="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59</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142"/>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EBITDA excl. Identified Items</w:t>
            </w:r>
          </w:p>
        </w:tc>
        <w:tc>
          <w:tcPr>
            <w:tcW w:w="94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196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235</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295</w:t>
            </w:r>
          </w:p>
        </w:tc>
        <w:tc>
          <w:tcPr>
            <w:tcW w:w="0" w:type="dxa"/>
            <w:vAlign w:val="bottom"/>
          </w:tcPr>
          <w:p>
            <w:pPr>
              <w:spacing w:after="0"/>
              <w:rPr>
                <w:sz w:val="1"/>
                <w:szCs w:val="1"/>
                <w:color w:val="auto"/>
              </w:rPr>
            </w:pPr>
          </w:p>
        </w:tc>
      </w:tr>
      <w:tr>
        <w:trPr>
          <w:trHeight w:val="153"/>
        </w:trPr>
        <w:tc>
          <w:tcPr>
            <w:tcW w:w="6820" w:type="dxa"/>
            <w:vAlign w:val="bottom"/>
          </w:tcPr>
          <w:p>
            <w:pPr>
              <w:spacing w:after="0"/>
              <w:rPr>
                <w:sz w:val="20"/>
                <w:szCs w:val="20"/>
                <w:color w:val="auto"/>
              </w:rPr>
            </w:pPr>
            <w:r>
              <w:rPr>
                <w:rFonts w:ascii="Times New Roman" w:cs="Times New Roman" w:eastAsia="Times New Roman" w:hAnsi="Times New Roman"/>
                <w:sz w:val="12"/>
                <w:szCs w:val="12"/>
                <w:color w:val="auto"/>
              </w:rPr>
              <w:t>Less:</w:t>
            </w: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Identified Items, pre-tax</w:t>
            </w:r>
          </w:p>
        </w:tc>
        <w:tc>
          <w:tcPr>
            <w:tcW w:w="9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511</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85</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58"/>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EBITDA</w:t>
            </w:r>
          </w:p>
        </w:tc>
        <w:tc>
          <w:tcPr>
            <w:tcW w:w="940" w:type="dxa"/>
            <w:vAlign w:val="bottom"/>
            <w:tcBorders>
              <w:bottom w:val="single" w:sz="8" w:color="auto"/>
            </w:tcBorders>
          </w:tcPr>
          <w:p>
            <w:pPr>
              <w:jc w:val="right"/>
              <w:ind w:right="805"/>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(315)</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150</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288</w:t>
            </w:r>
          </w:p>
        </w:tc>
        <w:tc>
          <w:tcPr>
            <w:tcW w:w="0" w:type="dxa"/>
            <w:vAlign w:val="bottom"/>
          </w:tcPr>
          <w:p>
            <w:pPr>
              <w:spacing w:after="0"/>
              <w:rPr>
                <w:sz w:val="1"/>
                <w:szCs w:val="1"/>
                <w:color w:val="auto"/>
              </w:rPr>
            </w:pPr>
          </w:p>
        </w:tc>
      </w:tr>
      <w:tr>
        <w:trPr>
          <w:trHeight w:val="15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external sales</w:t>
            </w:r>
          </w:p>
        </w:tc>
        <w:tc>
          <w:tcPr>
            <w:tcW w:w="940" w:type="dxa"/>
            <w:vAlign w:val="bottom"/>
            <w:tcBorders>
              <w:bottom w:val="single" w:sz="8" w:color="auto"/>
            </w:tcBorders>
            <w:shd w:val="clear" w:color="auto" w:fill="CCEEFF"/>
          </w:tcPr>
          <w:p>
            <w:pPr>
              <w:jc w:val="right"/>
              <w:ind w:right="805"/>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2,533</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2,652</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2,846</w:t>
            </w:r>
          </w:p>
        </w:tc>
        <w:tc>
          <w:tcPr>
            <w:tcW w:w="0" w:type="dxa"/>
            <w:vAlign w:val="bottom"/>
          </w:tcPr>
          <w:p>
            <w:pPr>
              <w:spacing w:after="0"/>
              <w:rPr>
                <w:sz w:val="1"/>
                <w:szCs w:val="1"/>
                <w:color w:val="auto"/>
              </w:rPr>
            </w:pPr>
          </w:p>
        </w:tc>
      </w:tr>
      <w:tr>
        <w:trPr>
          <w:trHeight w:val="158"/>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Operating loss margin</w:t>
            </w:r>
          </w:p>
        </w:tc>
        <w:tc>
          <w:tcPr>
            <w:tcW w:w="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69"/>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loss margin excl. Identified Items</w:t>
            </w:r>
          </w:p>
        </w:tc>
        <w:tc>
          <w:tcPr>
            <w:tcW w:w="9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69"/>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EBITDA margin</w:t>
            </w: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69"/>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EBITDA margin excl. Identified Items</w:t>
            </w:r>
          </w:p>
        </w:tc>
        <w:tc>
          <w:tcPr>
            <w:tcW w:w="9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x</w:t>
      </w:r>
    </w:p>
    <w:p>
      <w:pPr>
        <w:sectPr>
          <w:pgSz w:w="11900" w:h="16838" w:orient="portrait"/>
          <w:cols w:equalWidth="0" w:num="1">
            <w:col w:w="11300"/>
          </w:cols>
          <w:pgMar w:left="300" w:top="800" w:right="299" w:bottom="1440" w:gutter="0" w:footer="0" w:header="0"/>
        </w:sectPr>
      </w:pPr>
    </w:p>
    <w:bookmarkStart w:id="14" w:name="page15"/>
    <w:bookmarkEnd w:id="14"/>
    <w:p>
      <w:pPr>
        <w:ind w:left="4840"/>
        <w:spacing w:after="0"/>
        <w:rPr>
          <w:sz w:val="20"/>
          <w:szCs w:val="20"/>
          <w:color w:val="auto"/>
        </w:rPr>
      </w:pPr>
      <w:r>
        <w:rPr>
          <w:rFonts w:ascii="Times New Roman" w:cs="Times New Roman" w:eastAsia="Times New Roman" w:hAnsi="Times New Roman"/>
          <w:sz w:val="12"/>
          <w:szCs w:val="12"/>
          <w:b w:val="1"/>
          <w:bCs w:val="1"/>
          <w:color w:val="auto"/>
        </w:rPr>
        <w:t>WESTLAKE CORPORATION</w:t>
      </w:r>
    </w:p>
    <w:p>
      <w:pPr>
        <w:spacing w:after="0" w:line="11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RECONCILIATION OF DILUTED LOSS PER COMMON SHARE TO DILUTED LOSS PER COMMON SHARE EXCLUDING IDENTIFIED ITEMS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7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Three Months Ended December</w:t>
            </w:r>
          </w:p>
        </w:tc>
        <w:tc>
          <w:tcPr>
            <w:tcW w:w="160" w:type="dxa"/>
            <w:vAlign w:val="bottom"/>
          </w:tcPr>
          <w:p>
            <w:pPr>
              <w:spacing w:after="0"/>
              <w:rPr>
                <w:sz w:val="10"/>
                <w:szCs w:val="10"/>
                <w:color w:val="auto"/>
              </w:rPr>
            </w:pPr>
          </w:p>
        </w:tc>
        <w:tc>
          <w:tcPr>
            <w:tcW w:w="19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7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center"/>
              <w:ind w:right="305"/>
              <w:spacing w:after="0"/>
              <w:rPr>
                <w:sz w:val="20"/>
                <w:szCs w:val="20"/>
                <w:color w:val="auto"/>
              </w:rPr>
            </w:pPr>
            <w:r>
              <w:rPr>
                <w:rFonts w:ascii="Times New Roman" w:cs="Times New Roman" w:eastAsia="Times New Roman" w:hAnsi="Times New Roman"/>
                <w:sz w:val="10"/>
                <w:szCs w:val="10"/>
                <w:b w:val="1"/>
                <w:bCs w:val="1"/>
                <w:color w:val="auto"/>
                <w:w w:val="95"/>
              </w:rPr>
              <w:t>31,</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3"/>
            <w:vMerge w:val="continue"/>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7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center"/>
              <w:ind w:right="285"/>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0"/>
                <w:szCs w:val="10"/>
                <w:b w:val="1"/>
                <w:bCs w:val="1"/>
                <w:color w:val="auto"/>
                <w:w w:val="89"/>
              </w:rPr>
              <w:t>2026</w:t>
            </w:r>
          </w:p>
        </w:tc>
        <w:tc>
          <w:tcPr>
            <w:tcW w:w="10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0"/>
                <w:szCs w:val="10"/>
                <w:b w:val="1"/>
                <w:bCs w:val="1"/>
                <w:color w:val="auto"/>
                <w:w w:val="79"/>
              </w:rPr>
              <w:t>2025</w:t>
            </w:r>
          </w:p>
        </w:tc>
        <w:tc>
          <w:tcPr>
            <w:tcW w:w="0" w:type="dxa"/>
            <w:vAlign w:val="bottom"/>
          </w:tcPr>
          <w:p>
            <w:pPr>
              <w:spacing w:after="0"/>
              <w:rPr>
                <w:sz w:val="1"/>
                <w:szCs w:val="1"/>
                <w:color w:val="auto"/>
              </w:rPr>
            </w:pPr>
          </w:p>
        </w:tc>
      </w:tr>
      <w:tr>
        <w:trPr>
          <w:trHeight w:val="147"/>
        </w:trPr>
        <w:tc>
          <w:tcPr>
            <w:tcW w:w="47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(per share data)</w:t>
            </w: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Diluted loss per common share attributable to Westlake Corporation</w:t>
            </w:r>
          </w:p>
        </w:tc>
        <w:tc>
          <w:tcPr>
            <w:tcW w:w="242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(0.31)</w:t>
            </w:r>
          </w:p>
        </w:tc>
        <w:tc>
          <w:tcPr>
            <w:tcW w:w="0" w:type="dxa"/>
            <w:vAlign w:val="bottom"/>
          </w:tcPr>
          <w:p>
            <w:pPr>
              <w:spacing w:after="0"/>
              <w:rPr>
                <w:sz w:val="1"/>
                <w:szCs w:val="1"/>
                <w:color w:val="auto"/>
              </w:rPr>
            </w:pPr>
          </w:p>
        </w:tc>
      </w:tr>
      <w:tr>
        <w:trPr>
          <w:trHeight w:val="153"/>
        </w:trPr>
        <w:tc>
          <w:tcPr>
            <w:tcW w:w="4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Add:</w:t>
            </w:r>
          </w:p>
        </w:tc>
        <w:tc>
          <w:tcPr>
            <w:tcW w:w="2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Loss per common share relating to Identified Items</w:t>
            </w:r>
          </w:p>
        </w:tc>
        <w:tc>
          <w:tcPr>
            <w:tcW w:w="20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0.54</w:t>
            </w:r>
          </w:p>
        </w:tc>
        <w:tc>
          <w:tcPr>
            <w:tcW w:w="1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0.05</w:t>
            </w:r>
          </w:p>
        </w:tc>
        <w:tc>
          <w:tcPr>
            <w:tcW w:w="0" w:type="dxa"/>
            <w:vAlign w:val="bottom"/>
          </w:tcPr>
          <w:p>
            <w:pPr>
              <w:spacing w:after="0"/>
              <w:rPr>
                <w:sz w:val="1"/>
                <w:szCs w:val="1"/>
                <w:color w:val="auto"/>
              </w:rPr>
            </w:pPr>
          </w:p>
        </w:tc>
      </w:tr>
      <w:tr>
        <w:trPr>
          <w:trHeight w:val="142"/>
        </w:trPr>
        <w:tc>
          <w:tcPr>
            <w:tcW w:w="47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Diluted loss per common share attributable to Westlake Corporation excl. Identified Items</w:t>
            </w:r>
          </w:p>
        </w:tc>
        <w:tc>
          <w:tcPr>
            <w:tcW w:w="2080" w:type="dxa"/>
            <w:vAlign w:val="bottom"/>
          </w:tcPr>
          <w:p>
            <w:pPr>
              <w:spacing w:after="0"/>
              <w:rPr>
                <w:sz w:val="12"/>
                <w:szCs w:val="12"/>
                <w:color w:val="auto"/>
              </w:rPr>
            </w:pPr>
          </w:p>
        </w:tc>
        <w:tc>
          <w:tcPr>
            <w:tcW w:w="3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(0.77)</w:t>
            </w:r>
          </w:p>
        </w:tc>
        <w:tc>
          <w:tcPr>
            <w:tcW w:w="100" w:type="dxa"/>
            <w:vAlign w:val="bottom"/>
          </w:tcPr>
          <w:p>
            <w:pPr>
              <w:spacing w:after="0"/>
              <w:rPr>
                <w:sz w:val="12"/>
                <w:szCs w:val="12"/>
                <w:color w:val="auto"/>
              </w:rPr>
            </w:pPr>
          </w:p>
        </w:tc>
        <w:tc>
          <w:tcPr>
            <w:tcW w:w="62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740" w:type="dxa"/>
            <w:vAlign w:val="bottom"/>
          </w:tcPr>
          <w:p>
            <w:pPr>
              <w:spacing w:after="0"/>
              <w:rPr>
                <w:sz w:val="24"/>
                <w:szCs w:val="24"/>
                <w:color w:val="auto"/>
              </w:rPr>
            </w:pPr>
          </w:p>
        </w:tc>
        <w:tc>
          <w:tcPr>
            <w:tcW w:w="2420" w:type="dxa"/>
            <w:vAlign w:val="bottom"/>
            <w:gridSpan w:val="2"/>
          </w:tcPr>
          <w:p>
            <w:pPr>
              <w:jc w:val="center"/>
              <w:ind w:right="549"/>
              <w:spacing w:after="0"/>
              <w:rPr>
                <w:sz w:val="20"/>
                <w:szCs w:val="20"/>
                <w:color w:val="auto"/>
              </w:rPr>
            </w:pPr>
            <w:r>
              <w:rPr>
                <w:rFonts w:ascii="Times New Roman" w:cs="Times New Roman" w:eastAsia="Times New Roman" w:hAnsi="Times New Roman"/>
                <w:sz w:val="12"/>
                <w:szCs w:val="12"/>
                <w:b w:val="1"/>
                <w:bCs w:val="1"/>
                <w:color w:val="auto"/>
                <w:w w:val="99"/>
              </w:rPr>
              <w:t>WESTLAKE CORPORATION</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60" w:type="dxa"/>
            <w:vAlign w:val="bottom"/>
            <w:gridSpan w:val="8"/>
          </w:tcPr>
          <w:p>
            <w:pPr>
              <w:jc w:val="center"/>
              <w:ind w:left="1360"/>
              <w:spacing w:after="0"/>
              <w:rPr>
                <w:sz w:val="20"/>
                <w:szCs w:val="20"/>
                <w:color w:val="auto"/>
              </w:rPr>
            </w:pPr>
            <w:r>
              <w:rPr>
                <w:rFonts w:ascii="Times New Roman" w:cs="Times New Roman" w:eastAsia="Times New Roman" w:hAnsi="Times New Roman"/>
                <w:sz w:val="12"/>
                <w:szCs w:val="12"/>
                <w:b w:val="1"/>
                <w:bCs w:val="1"/>
                <w:color w:val="auto"/>
                <w:w w:val="99"/>
              </w:rPr>
              <w:t>RECONCILIATION OF FREE CASH FLOW TO NET CASH PROVIDED BY (USED FOR) OPERATING ACTIVITIES</w:t>
            </w: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4740" w:type="dxa"/>
            <w:vAlign w:val="bottom"/>
          </w:tcPr>
          <w:p>
            <w:pPr>
              <w:spacing w:after="0"/>
              <w:rPr>
                <w:sz w:val="13"/>
                <w:szCs w:val="13"/>
                <w:color w:val="auto"/>
              </w:rPr>
            </w:pPr>
          </w:p>
        </w:tc>
        <w:tc>
          <w:tcPr>
            <w:tcW w:w="2420" w:type="dxa"/>
            <w:vAlign w:val="bottom"/>
            <w:gridSpan w:val="2"/>
          </w:tcPr>
          <w:p>
            <w:pPr>
              <w:jc w:val="center"/>
              <w:ind w:right="549"/>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7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Three Months Ended December</w:t>
            </w:r>
          </w:p>
        </w:tc>
        <w:tc>
          <w:tcPr>
            <w:tcW w:w="160" w:type="dxa"/>
            <w:vAlign w:val="bottom"/>
          </w:tcPr>
          <w:p>
            <w:pPr>
              <w:spacing w:after="0"/>
              <w:rPr>
                <w:sz w:val="14"/>
                <w:szCs w:val="14"/>
                <w:color w:val="auto"/>
              </w:rPr>
            </w:pPr>
          </w:p>
        </w:tc>
        <w:tc>
          <w:tcPr>
            <w:tcW w:w="19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center"/>
              <w:ind w:right="305"/>
              <w:spacing w:after="0"/>
              <w:rPr>
                <w:sz w:val="20"/>
                <w:szCs w:val="20"/>
                <w:color w:val="auto"/>
              </w:rPr>
            </w:pPr>
            <w:r>
              <w:rPr>
                <w:rFonts w:ascii="Times New Roman" w:cs="Times New Roman" w:eastAsia="Times New Roman" w:hAnsi="Times New Roman"/>
                <w:sz w:val="10"/>
                <w:szCs w:val="10"/>
                <w:b w:val="1"/>
                <w:bCs w:val="1"/>
                <w:color w:val="auto"/>
                <w:w w:val="95"/>
              </w:rPr>
              <w:t>31,</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3"/>
            <w:vMerge w:val="continue"/>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7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center"/>
              <w:ind w:right="285"/>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0"/>
                <w:szCs w:val="10"/>
                <w:b w:val="1"/>
                <w:bCs w:val="1"/>
                <w:color w:val="auto"/>
                <w:w w:val="89"/>
              </w:rPr>
              <w:t>2026</w:t>
            </w:r>
          </w:p>
        </w:tc>
        <w:tc>
          <w:tcPr>
            <w:tcW w:w="10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0"/>
                <w:szCs w:val="10"/>
                <w:b w:val="1"/>
                <w:bCs w:val="1"/>
                <w:color w:val="auto"/>
                <w:w w:val="79"/>
              </w:rPr>
              <w:t>2025</w:t>
            </w:r>
          </w:p>
        </w:tc>
        <w:tc>
          <w:tcPr>
            <w:tcW w:w="0" w:type="dxa"/>
            <w:vAlign w:val="bottom"/>
          </w:tcPr>
          <w:p>
            <w:pPr>
              <w:spacing w:after="0"/>
              <w:rPr>
                <w:sz w:val="1"/>
                <w:szCs w:val="1"/>
                <w:color w:val="auto"/>
              </w:rPr>
            </w:pPr>
          </w:p>
        </w:tc>
      </w:tr>
      <w:tr>
        <w:trPr>
          <w:trHeight w:val="147"/>
        </w:trPr>
        <w:tc>
          <w:tcPr>
            <w:tcW w:w="47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(in millions of dollars)</w:t>
            </w: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cash provided by (used for) operating activities</w:t>
            </w:r>
          </w:p>
        </w:tc>
        <w:tc>
          <w:tcPr>
            <w:tcW w:w="242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0" w:type="dxa"/>
            <w:vAlign w:val="bottom"/>
          </w:tcPr>
          <w:p>
            <w:pPr>
              <w:spacing w:after="0"/>
              <w:rPr>
                <w:sz w:val="1"/>
                <w:szCs w:val="1"/>
                <w:color w:val="auto"/>
              </w:rPr>
            </w:pPr>
          </w:p>
        </w:tc>
      </w:tr>
      <w:tr>
        <w:trPr>
          <w:trHeight w:val="153"/>
        </w:trPr>
        <w:tc>
          <w:tcPr>
            <w:tcW w:w="4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Less:</w:t>
            </w:r>
          </w:p>
        </w:tc>
        <w:tc>
          <w:tcPr>
            <w:tcW w:w="2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Additions to property, plant and equipment</w:t>
            </w:r>
          </w:p>
        </w:tc>
        <w:tc>
          <w:tcPr>
            <w:tcW w:w="20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w:t>
            </w:r>
          </w:p>
        </w:tc>
        <w:tc>
          <w:tcPr>
            <w:tcW w:w="1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w:t>
            </w:r>
          </w:p>
        </w:tc>
        <w:tc>
          <w:tcPr>
            <w:tcW w:w="0" w:type="dxa"/>
            <w:vAlign w:val="bottom"/>
          </w:tcPr>
          <w:p>
            <w:pPr>
              <w:spacing w:after="0"/>
              <w:rPr>
                <w:sz w:val="1"/>
                <w:szCs w:val="1"/>
                <w:color w:val="auto"/>
              </w:rPr>
            </w:pPr>
          </w:p>
        </w:tc>
      </w:tr>
      <w:tr>
        <w:trPr>
          <w:trHeight w:val="142"/>
        </w:trPr>
        <w:tc>
          <w:tcPr>
            <w:tcW w:w="47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Free cash flow</w:t>
            </w:r>
          </w:p>
        </w:tc>
        <w:tc>
          <w:tcPr>
            <w:tcW w:w="2080" w:type="dxa"/>
            <w:vAlign w:val="bottom"/>
          </w:tcPr>
          <w:p>
            <w:pPr>
              <w:spacing w:after="0"/>
              <w:rPr>
                <w:sz w:val="12"/>
                <w:szCs w:val="12"/>
                <w:color w:val="auto"/>
              </w:rPr>
            </w:pPr>
          </w:p>
        </w:tc>
        <w:tc>
          <w:tcPr>
            <w:tcW w:w="3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(303)</w:t>
            </w:r>
          </w:p>
        </w:tc>
        <w:tc>
          <w:tcPr>
            <w:tcW w:w="100" w:type="dxa"/>
            <w:vAlign w:val="bottom"/>
          </w:tcPr>
          <w:p>
            <w:pPr>
              <w:spacing w:after="0"/>
              <w:rPr>
                <w:sz w:val="12"/>
                <w:szCs w:val="12"/>
                <w:color w:val="auto"/>
              </w:rPr>
            </w:pPr>
          </w:p>
        </w:tc>
        <w:tc>
          <w:tcPr>
            <w:tcW w:w="62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xi</w:t>
      </w:r>
    </w:p>
    <w:p>
      <w:pPr>
        <w:sectPr>
          <w:pgSz w:w="11900" w:h="16838" w:orient="portrait"/>
          <w:cols w:equalWidth="0" w:num="1">
            <w:col w:w="11280"/>
          </w:cols>
          <w:pgMar w:left="300" w:top="1016"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2"/>
          <w:szCs w:val="12"/>
          <w:b w:val="1"/>
          <w:bCs w:val="1"/>
          <w:color w:val="auto"/>
        </w:rPr>
        <w:t>WESTLAKE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RECONCILIATION OF HIP SEGMENT EBITDA TO INCOME FROM OPERATIONS (INCLUDING AND EXCLUDING IDENTIFIED ITEMS)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0" w:type="dxa"/>
            <w:vAlign w:val="bottom"/>
          </w:tcPr>
          <w:p>
            <w:pPr>
              <w:spacing w:after="0"/>
              <w:rPr>
                <w:sz w:val="10"/>
                <w:szCs w:val="10"/>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Three Months Ended December</w:t>
            </w:r>
          </w:p>
        </w:tc>
        <w:tc>
          <w:tcPr>
            <w:tcW w:w="360" w:type="dxa"/>
            <w:vAlign w:val="bottom"/>
          </w:tcPr>
          <w:p>
            <w:pPr>
              <w:spacing w:after="0"/>
              <w:rPr>
                <w:sz w:val="10"/>
                <w:szCs w:val="10"/>
                <w:color w:val="auto"/>
              </w:rPr>
            </w:pPr>
          </w:p>
        </w:tc>
        <w:tc>
          <w:tcPr>
            <w:tcW w:w="1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6800" w:type="dxa"/>
            <w:vAlign w:val="bottom"/>
          </w:tcPr>
          <w:p>
            <w:pPr>
              <w:spacing w:after="0"/>
              <w:rPr>
                <w:sz w:val="11"/>
                <w:szCs w:val="11"/>
                <w:color w:val="auto"/>
              </w:rPr>
            </w:pPr>
          </w:p>
        </w:tc>
        <w:tc>
          <w:tcPr>
            <w:tcW w:w="9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rPr>
              <w:t>31,</w:t>
            </w: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3"/>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6800" w:type="dxa"/>
            <w:vAlign w:val="bottom"/>
          </w:tcPr>
          <w:p>
            <w:pPr>
              <w:spacing w:after="0"/>
              <w:rPr>
                <w:sz w:val="10"/>
                <w:szCs w:val="10"/>
                <w:color w:val="auto"/>
              </w:rPr>
            </w:pPr>
          </w:p>
        </w:tc>
        <w:tc>
          <w:tcPr>
            <w:tcW w:w="9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0"/>
                <w:szCs w:val="10"/>
                <w:b w:val="1"/>
                <w:bCs w:val="1"/>
                <w:color w:val="auto"/>
              </w:rPr>
              <w:t>2025</w:t>
            </w:r>
          </w:p>
        </w:tc>
        <w:tc>
          <w:tcPr>
            <w:tcW w:w="4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0" w:type="dxa"/>
            <w:vAlign w:val="bottom"/>
          </w:tcPr>
          <w:p>
            <w:pPr>
              <w:spacing w:after="0"/>
              <w:rPr>
                <w:sz w:val="1"/>
                <w:szCs w:val="1"/>
                <w:color w:val="auto"/>
              </w:rPr>
            </w:pPr>
          </w:p>
        </w:tc>
      </w:tr>
      <w:tr>
        <w:trPr>
          <w:trHeight w:val="147"/>
        </w:trPr>
        <w:tc>
          <w:tcPr>
            <w:tcW w:w="6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80" w:type="dxa"/>
            <w:vAlign w:val="bottom"/>
            <w:gridSpan w:val="6"/>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(in millions of dollars, except percentages)</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Housing and Infrastructure Products Segment</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8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Income from operations</w:t>
            </w:r>
          </w:p>
        </w:tc>
        <w:tc>
          <w:tcPr>
            <w:tcW w:w="980" w:type="dxa"/>
            <w:vAlign w:val="bottom"/>
          </w:tcPr>
          <w:p>
            <w:pPr>
              <w:jc w:val="right"/>
              <w:ind w:right="846"/>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66</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56</w:t>
            </w:r>
          </w:p>
        </w:tc>
        <w:tc>
          <w:tcPr>
            <w:tcW w:w="80" w:type="dxa"/>
            <w:vAlign w:val="bottom"/>
          </w:tcPr>
          <w:p>
            <w:pPr>
              <w:spacing w:after="0"/>
              <w:rPr>
                <w:sz w:val="13"/>
                <w:szCs w:val="13"/>
                <w:color w:val="auto"/>
              </w:rPr>
            </w:pPr>
          </w:p>
        </w:tc>
        <w:tc>
          <w:tcPr>
            <w:tcW w:w="620" w:type="dxa"/>
            <w:vAlign w:val="bottom"/>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0" w:type="dxa"/>
            <w:vAlign w:val="bottom"/>
          </w:tcPr>
          <w:p>
            <w:pPr>
              <w:spacing w:after="0"/>
              <w:rPr>
                <w:sz w:val="1"/>
                <w:szCs w:val="1"/>
                <w:color w:val="auto"/>
              </w:rPr>
            </w:pPr>
          </w:p>
        </w:tc>
      </w:tr>
      <w:tr>
        <w:trPr>
          <w:trHeight w:val="15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Add:</w:t>
            </w: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2"/>
                <w:szCs w:val="12"/>
                <w:color w:val="auto"/>
              </w:rPr>
              <w:t>Identified Items</w:t>
            </w:r>
          </w:p>
        </w:tc>
        <w:tc>
          <w:tcPr>
            <w:tcW w:w="9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68</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Income from operations excl. Identified Items</w:t>
            </w: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82</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124</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0" w:type="dxa"/>
            <w:vAlign w:val="bottom"/>
          </w:tcPr>
          <w:p>
            <w:pPr>
              <w:spacing w:after="0"/>
              <w:rPr>
                <w:sz w:val="1"/>
                <w:szCs w:val="1"/>
                <w:color w:val="auto"/>
              </w:rPr>
            </w:pPr>
          </w:p>
        </w:tc>
      </w:tr>
      <w:tr>
        <w:trPr>
          <w:trHeight w:val="153"/>
        </w:trPr>
        <w:tc>
          <w:tcPr>
            <w:tcW w:w="6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Add:</w:t>
            </w: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61</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0" w:type="dxa"/>
            <w:vAlign w:val="bottom"/>
          </w:tcPr>
          <w:p>
            <w:pPr>
              <w:spacing w:after="0"/>
              <w:rPr>
                <w:sz w:val="1"/>
                <w:szCs w:val="1"/>
                <w:color w:val="auto"/>
              </w:rPr>
            </w:pPr>
          </w:p>
        </w:tc>
      </w:tr>
      <w:tr>
        <w:trPr>
          <w:trHeight w:val="153"/>
        </w:trPr>
        <w:tc>
          <w:tcPr>
            <w:tcW w:w="6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2"/>
                <w:szCs w:val="12"/>
                <w:color w:val="auto"/>
              </w:rPr>
              <w:t>Other income, net</w:t>
            </w:r>
          </w:p>
        </w:tc>
        <w:tc>
          <w:tcPr>
            <w:tcW w:w="9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4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EBITDA excl. Identified Items</w:t>
            </w:r>
          </w:p>
        </w:tc>
        <w:tc>
          <w:tcPr>
            <w:tcW w:w="9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146</w:t>
            </w:r>
          </w:p>
        </w:tc>
        <w:tc>
          <w:tcPr>
            <w:tcW w:w="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186</w:t>
            </w:r>
          </w:p>
        </w:tc>
        <w:tc>
          <w:tcPr>
            <w:tcW w:w="8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w:t>
            </w:r>
          </w:p>
        </w:tc>
        <w:tc>
          <w:tcPr>
            <w:tcW w:w="0" w:type="dxa"/>
            <w:vAlign w:val="bottom"/>
          </w:tcPr>
          <w:p>
            <w:pPr>
              <w:spacing w:after="0"/>
              <w:rPr>
                <w:sz w:val="1"/>
                <w:szCs w:val="1"/>
                <w:color w:val="auto"/>
              </w:rPr>
            </w:pPr>
          </w:p>
        </w:tc>
      </w:tr>
      <w:tr>
        <w:trPr>
          <w:trHeight w:val="133"/>
        </w:trPr>
        <w:tc>
          <w:tcPr>
            <w:tcW w:w="680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Less:</w:t>
            </w: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Identified Items</w:t>
            </w:r>
          </w:p>
        </w:tc>
        <w:tc>
          <w:tcPr>
            <w:tcW w:w="9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68</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8"/>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EBITDA</w:t>
            </w:r>
          </w:p>
        </w:tc>
        <w:tc>
          <w:tcPr>
            <w:tcW w:w="980" w:type="dxa"/>
            <w:vAlign w:val="bottom"/>
            <w:tcBorders>
              <w:bottom w:val="single" w:sz="8" w:color="auto"/>
            </w:tcBorders>
          </w:tcPr>
          <w:p>
            <w:pPr>
              <w:jc w:val="right"/>
              <w:ind w:right="846"/>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130</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118</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203</w:t>
            </w:r>
          </w:p>
        </w:tc>
        <w:tc>
          <w:tcPr>
            <w:tcW w:w="0" w:type="dxa"/>
            <w:vAlign w:val="bottom"/>
          </w:tcPr>
          <w:p>
            <w:pPr>
              <w:spacing w:after="0"/>
              <w:rPr>
                <w:sz w:val="1"/>
                <w:szCs w:val="1"/>
                <w:color w:val="auto"/>
              </w:rPr>
            </w:pPr>
          </w:p>
        </w:tc>
      </w:tr>
      <w:tr>
        <w:trPr>
          <w:trHeight w:val="15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external sales</w:t>
            </w:r>
          </w:p>
        </w:tc>
        <w:tc>
          <w:tcPr>
            <w:tcW w:w="980" w:type="dxa"/>
            <w:vAlign w:val="bottom"/>
            <w:tcBorders>
              <w:bottom w:val="single" w:sz="8" w:color="auto"/>
            </w:tcBorders>
            <w:shd w:val="clear" w:color="auto" w:fill="CCEEFF"/>
          </w:tcPr>
          <w:p>
            <w:pPr>
              <w:jc w:val="right"/>
              <w:ind w:right="846"/>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901</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993</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996</w:t>
            </w:r>
          </w:p>
        </w:tc>
        <w:tc>
          <w:tcPr>
            <w:tcW w:w="0" w:type="dxa"/>
            <w:vAlign w:val="bottom"/>
          </w:tcPr>
          <w:p>
            <w:pPr>
              <w:spacing w:after="0"/>
              <w:rPr>
                <w:sz w:val="1"/>
                <w:szCs w:val="1"/>
                <w:color w:val="auto"/>
              </w:rPr>
            </w:pPr>
          </w:p>
        </w:tc>
      </w:tr>
      <w:tr>
        <w:trPr>
          <w:trHeight w:val="158"/>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income margin</w:t>
            </w:r>
          </w:p>
        </w:tc>
        <w:tc>
          <w:tcPr>
            <w:tcW w:w="9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r>
        <w:trPr>
          <w:trHeight w:val="169"/>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income margin excl. Identified Items</w:t>
            </w:r>
          </w:p>
        </w:tc>
        <w:tc>
          <w:tcPr>
            <w:tcW w:w="9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r>
        <w:trPr>
          <w:trHeight w:val="169"/>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EBITDA margin</w:t>
            </w:r>
          </w:p>
        </w:tc>
        <w:tc>
          <w:tcPr>
            <w:tcW w:w="9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r>
        <w:trPr>
          <w:trHeight w:val="169"/>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EBITDA margin excl. Identified Items</w:t>
            </w:r>
          </w:p>
        </w:tc>
        <w:tc>
          <w:tcPr>
            <w:tcW w:w="9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xii</w:t>
      </w:r>
    </w:p>
    <w:p>
      <w:pPr>
        <w:sectPr>
          <w:pgSz w:w="11900" w:h="16838" w:orient="portrait"/>
          <w:cols w:equalWidth="0" w:num="1">
            <w:col w:w="11280"/>
          </w:cols>
          <w:pgMar w:left="300" w:top="800" w:right="319" w:bottom="1440" w:gutter="0" w:footer="0" w:header="0"/>
        </w:sectPr>
      </w:pPr>
    </w:p>
    <w:bookmarkStart w:id="16" w:name="page17"/>
    <w:bookmarkEnd w:id="16"/>
    <w:p>
      <w:pPr>
        <w:ind w:left="4840"/>
        <w:spacing w:after="0"/>
        <w:rPr>
          <w:sz w:val="20"/>
          <w:szCs w:val="20"/>
          <w:color w:val="auto"/>
        </w:rPr>
      </w:pPr>
      <w:r>
        <w:rPr>
          <w:rFonts w:ascii="Times New Roman" w:cs="Times New Roman" w:eastAsia="Times New Roman" w:hAnsi="Times New Roman"/>
          <w:sz w:val="12"/>
          <w:szCs w:val="12"/>
          <w:b w:val="1"/>
          <w:bCs w:val="1"/>
          <w:color w:val="auto"/>
        </w:rPr>
        <w:t>WESTLAKE CORPORATION</w:t>
      </w:r>
    </w:p>
    <w:p>
      <w:pPr>
        <w:spacing w:after="0" w:line="11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2"/>
          <w:szCs w:val="12"/>
          <w:b w:val="1"/>
          <w:bCs w:val="1"/>
          <w:color w:val="auto"/>
        </w:rPr>
        <w:t>RECONCILIATION OF PEM SEGMENT EBITDA TO LOSS FROM OPERATIONS (INCLUDING AND EXCLUDING IDENTIFIED ITEMS)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0" w:type="dxa"/>
            <w:vAlign w:val="bottom"/>
          </w:tcPr>
          <w:p>
            <w:pPr>
              <w:spacing w:after="0"/>
              <w:rPr>
                <w:sz w:val="10"/>
                <w:szCs w:val="10"/>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Three Months Ended December</w:t>
            </w:r>
          </w:p>
        </w:tc>
        <w:tc>
          <w:tcPr>
            <w:tcW w:w="360" w:type="dxa"/>
            <w:vAlign w:val="bottom"/>
          </w:tcPr>
          <w:p>
            <w:pPr>
              <w:spacing w:after="0"/>
              <w:rPr>
                <w:sz w:val="10"/>
                <w:szCs w:val="10"/>
                <w:color w:val="auto"/>
              </w:rPr>
            </w:pPr>
          </w:p>
        </w:tc>
        <w:tc>
          <w:tcPr>
            <w:tcW w:w="1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6800" w:type="dxa"/>
            <w:vAlign w:val="bottom"/>
          </w:tcPr>
          <w:p>
            <w:pPr>
              <w:spacing w:after="0"/>
              <w:rPr>
                <w:sz w:val="11"/>
                <w:szCs w:val="11"/>
                <w:color w:val="auto"/>
              </w:rPr>
            </w:pPr>
          </w:p>
        </w:tc>
        <w:tc>
          <w:tcPr>
            <w:tcW w:w="9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0"/>
                <w:szCs w:val="10"/>
                <w:b w:val="1"/>
                <w:bCs w:val="1"/>
                <w:color w:val="auto"/>
              </w:rPr>
              <w:t>31,</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3"/>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6800" w:type="dxa"/>
            <w:vAlign w:val="bottom"/>
          </w:tcPr>
          <w:p>
            <w:pPr>
              <w:spacing w:after="0"/>
              <w:rPr>
                <w:sz w:val="10"/>
                <w:szCs w:val="10"/>
                <w:color w:val="auto"/>
              </w:rPr>
            </w:pPr>
          </w:p>
        </w:tc>
        <w:tc>
          <w:tcPr>
            <w:tcW w:w="9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rPr>
              <w:t>2025</w:t>
            </w: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0" w:type="dxa"/>
            <w:vAlign w:val="bottom"/>
          </w:tcPr>
          <w:p>
            <w:pPr>
              <w:spacing w:after="0"/>
              <w:rPr>
                <w:sz w:val="1"/>
                <w:szCs w:val="1"/>
                <w:color w:val="auto"/>
              </w:rPr>
            </w:pPr>
          </w:p>
        </w:tc>
      </w:tr>
      <w:tr>
        <w:trPr>
          <w:trHeight w:val="147"/>
        </w:trPr>
        <w:tc>
          <w:tcPr>
            <w:tcW w:w="6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720" w:type="dxa"/>
            <w:vAlign w:val="bottom"/>
            <w:gridSpan w:val="6"/>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(in millions of dollars, except percentages)</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Performance and Essential Materials Segment</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8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Loss from operations</w:t>
            </w:r>
          </w:p>
        </w:tc>
        <w:tc>
          <w:tcPr>
            <w:tcW w:w="940" w:type="dxa"/>
            <w:vAlign w:val="bottom"/>
          </w:tcPr>
          <w:p>
            <w:pPr>
              <w:jc w:val="right"/>
              <w:ind w:right="806"/>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(717)</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80" w:type="dxa"/>
            <w:vAlign w:val="bottom"/>
          </w:tcPr>
          <w:p>
            <w:pPr>
              <w:spacing w:after="0"/>
              <w:rPr>
                <w:sz w:val="13"/>
                <w:szCs w:val="13"/>
                <w:color w:val="auto"/>
              </w:rPr>
            </w:pPr>
          </w:p>
        </w:tc>
        <w:tc>
          <w:tcPr>
            <w:tcW w:w="620" w:type="dxa"/>
            <w:vAlign w:val="bottom"/>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0" w:type="dxa"/>
            <w:vAlign w:val="bottom"/>
          </w:tcPr>
          <w:p>
            <w:pPr>
              <w:spacing w:after="0"/>
              <w:rPr>
                <w:sz w:val="1"/>
                <w:szCs w:val="1"/>
                <w:color w:val="auto"/>
              </w:rPr>
            </w:pPr>
          </w:p>
        </w:tc>
      </w:tr>
      <w:tr>
        <w:trPr>
          <w:trHeight w:val="15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Add:</w:t>
            </w:r>
          </w:p>
        </w:tc>
        <w:tc>
          <w:tcPr>
            <w:tcW w:w="9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2"/>
                <w:szCs w:val="12"/>
                <w:color w:val="auto"/>
              </w:rPr>
              <w:t>Identified Items</w:t>
            </w:r>
          </w:p>
        </w:tc>
        <w:tc>
          <w:tcPr>
            <w:tcW w:w="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495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4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Loss from operations excl. Identified Items</w:t>
            </w:r>
          </w:p>
        </w:tc>
        <w:tc>
          <w:tcPr>
            <w:tcW w:w="9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0" w:type="dxa"/>
            <w:vAlign w:val="bottom"/>
          </w:tcPr>
          <w:p>
            <w:pPr>
              <w:spacing w:after="0"/>
              <w:rPr>
                <w:sz w:val="1"/>
                <w:szCs w:val="1"/>
                <w:color w:val="auto"/>
              </w:rPr>
            </w:pPr>
          </w:p>
        </w:tc>
      </w:tr>
      <w:tr>
        <w:trPr>
          <w:trHeight w:val="153"/>
        </w:trPr>
        <w:tc>
          <w:tcPr>
            <w:tcW w:w="6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Add:</w:t>
            </w: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4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233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221</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0" w:type="dxa"/>
            <w:vAlign w:val="bottom"/>
          </w:tcPr>
          <w:p>
            <w:pPr>
              <w:spacing w:after="0"/>
              <w:rPr>
                <w:sz w:val="1"/>
                <w:szCs w:val="1"/>
                <w:color w:val="auto"/>
              </w:rPr>
            </w:pPr>
          </w:p>
        </w:tc>
      </w:tr>
      <w:tr>
        <w:trPr>
          <w:trHeight w:val="153"/>
        </w:trPr>
        <w:tc>
          <w:tcPr>
            <w:tcW w:w="6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2"/>
                <w:szCs w:val="12"/>
                <w:color w:val="auto"/>
              </w:rPr>
              <w:t>Other income, net</w:t>
            </w:r>
          </w:p>
        </w:tc>
        <w:tc>
          <w:tcPr>
            <w:tcW w:w="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4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EBITDA excl. Identified Items</w:t>
            </w:r>
          </w:p>
        </w:tc>
        <w:tc>
          <w:tcPr>
            <w:tcW w:w="9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45</w:t>
            </w:r>
          </w:p>
        </w:tc>
        <w:tc>
          <w:tcPr>
            <w:tcW w:w="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0" w:type="dxa"/>
            <w:vAlign w:val="bottom"/>
          </w:tcPr>
          <w:p>
            <w:pPr>
              <w:spacing w:after="0"/>
              <w:rPr>
                <w:sz w:val="1"/>
                <w:szCs w:val="1"/>
                <w:color w:val="auto"/>
              </w:rPr>
            </w:pPr>
          </w:p>
        </w:tc>
      </w:tr>
      <w:tr>
        <w:trPr>
          <w:trHeight w:val="133"/>
        </w:trPr>
        <w:tc>
          <w:tcPr>
            <w:tcW w:w="680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Less:</w:t>
            </w: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Identified Items</w:t>
            </w:r>
          </w:p>
        </w:tc>
        <w:tc>
          <w:tcPr>
            <w:tcW w:w="9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495</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58"/>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EBITDA</w:t>
            </w:r>
          </w:p>
        </w:tc>
        <w:tc>
          <w:tcPr>
            <w:tcW w:w="940" w:type="dxa"/>
            <w:vAlign w:val="bottom"/>
            <w:tcBorders>
              <w:bottom w:val="single" w:sz="8" w:color="auto"/>
            </w:tcBorders>
          </w:tcPr>
          <w:p>
            <w:pPr>
              <w:jc w:val="right"/>
              <w:ind w:right="806"/>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(450)</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0" w:type="dxa"/>
            <w:vAlign w:val="bottom"/>
          </w:tcPr>
          <w:p>
            <w:pPr>
              <w:spacing w:after="0"/>
              <w:rPr>
                <w:sz w:val="1"/>
                <w:szCs w:val="1"/>
                <w:color w:val="auto"/>
              </w:rPr>
            </w:pPr>
          </w:p>
        </w:tc>
      </w:tr>
      <w:tr>
        <w:trPr>
          <w:trHeight w:val="15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external sales</w:t>
            </w:r>
          </w:p>
        </w:tc>
        <w:tc>
          <w:tcPr>
            <w:tcW w:w="940" w:type="dxa"/>
            <w:vAlign w:val="bottom"/>
            <w:tcBorders>
              <w:bottom w:val="single" w:sz="8" w:color="auto"/>
            </w:tcBorders>
            <w:shd w:val="clear" w:color="auto" w:fill="CCEEFF"/>
          </w:tcPr>
          <w:p>
            <w:pPr>
              <w:jc w:val="right"/>
              <w:ind w:right="806"/>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1,632</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1,659</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1,850</w:t>
            </w:r>
          </w:p>
        </w:tc>
        <w:tc>
          <w:tcPr>
            <w:tcW w:w="0" w:type="dxa"/>
            <w:vAlign w:val="bottom"/>
          </w:tcPr>
          <w:p>
            <w:pPr>
              <w:spacing w:after="0"/>
              <w:rPr>
                <w:sz w:val="1"/>
                <w:szCs w:val="1"/>
                <w:color w:val="auto"/>
              </w:rPr>
            </w:pPr>
          </w:p>
        </w:tc>
      </w:tr>
      <w:tr>
        <w:trPr>
          <w:trHeight w:val="158"/>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loss margin</w:t>
            </w:r>
          </w:p>
        </w:tc>
        <w:tc>
          <w:tcPr>
            <w:tcW w:w="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69"/>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loss margin excl. Identified Items</w:t>
            </w:r>
          </w:p>
        </w:tc>
        <w:tc>
          <w:tcPr>
            <w:tcW w:w="9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69"/>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EBITDA margin</w:t>
            </w: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69"/>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EBITDA margin excl. Identified Items</w:t>
            </w:r>
          </w:p>
        </w:tc>
        <w:tc>
          <w:tcPr>
            <w:tcW w:w="9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xiii</w:t>
      </w:r>
    </w:p>
    <w:p>
      <w:pPr>
        <w:sectPr>
          <w:pgSz w:w="11900" w:h="16838" w:orient="portrait"/>
          <w:cols w:equalWidth="0" w:num="1">
            <w:col w:w="11280"/>
          </w:cols>
          <w:pgMar w:left="300" w:top="1016" w:right="319" w:bottom="1440" w:gutter="0" w:footer="0" w:header="0"/>
        </w:sectPr>
      </w:pPr>
    </w:p>
    <w:bookmarkStart w:id="17" w:name="page18"/>
    <w:bookmarkEnd w:id="17"/>
    <w:p>
      <w:pPr>
        <w:ind w:left="4848"/>
        <w:spacing w:after="0"/>
        <w:rPr>
          <w:sz w:val="20"/>
          <w:szCs w:val="20"/>
          <w:color w:val="auto"/>
        </w:rPr>
      </w:pPr>
      <w:r>
        <w:rPr>
          <w:rFonts w:ascii="Times New Roman" w:cs="Times New Roman" w:eastAsia="Times New Roman" w:hAnsi="Times New Roman"/>
          <w:sz w:val="12"/>
          <w:szCs w:val="12"/>
          <w:b w:val="1"/>
          <w:bCs w:val="1"/>
          <w:color w:val="auto"/>
        </w:rPr>
        <w:t>WESTLAKE CORPORATION</w:t>
      </w:r>
    </w:p>
    <w:p>
      <w:pPr>
        <w:spacing w:after="0" w:line="114" w:lineRule="exact"/>
        <w:rPr>
          <w:sz w:val="20"/>
          <w:szCs w:val="20"/>
          <w:color w:val="auto"/>
        </w:rPr>
      </w:pPr>
    </w:p>
    <w:p>
      <w:pPr>
        <w:ind w:left="4708"/>
        <w:spacing w:after="0"/>
        <w:rPr>
          <w:sz w:val="20"/>
          <w:szCs w:val="20"/>
          <w:color w:val="auto"/>
        </w:rPr>
      </w:pPr>
      <w:r>
        <w:rPr>
          <w:rFonts w:ascii="Times New Roman" w:cs="Times New Roman" w:eastAsia="Times New Roman" w:hAnsi="Times New Roman"/>
          <w:sz w:val="12"/>
          <w:szCs w:val="12"/>
          <w:b w:val="1"/>
          <w:bCs w:val="1"/>
          <w:color w:val="auto"/>
        </w:rPr>
        <w:t>SUPPLEMENTAL INFORMATION</w:t>
      </w:r>
    </w:p>
    <w:p>
      <w:pPr>
        <w:spacing w:after="0" w:line="114" w:lineRule="exact"/>
        <w:rPr>
          <w:sz w:val="20"/>
          <w:szCs w:val="20"/>
          <w:color w:val="auto"/>
        </w:rPr>
      </w:pPr>
    </w:p>
    <w:p>
      <w:pPr>
        <w:ind w:left="3368"/>
        <w:spacing w:after="0"/>
        <w:rPr>
          <w:sz w:val="20"/>
          <w:szCs w:val="20"/>
          <w:color w:val="auto"/>
        </w:rPr>
      </w:pPr>
      <w:r>
        <w:rPr>
          <w:rFonts w:ascii="Times New Roman" w:cs="Times New Roman" w:eastAsia="Times New Roman" w:hAnsi="Times New Roman"/>
          <w:sz w:val="12"/>
          <w:szCs w:val="12"/>
          <w:b w:val="1"/>
          <w:bCs w:val="1"/>
          <w:color w:val="auto"/>
        </w:rPr>
        <w:t>PRODUCT SALES PRICE AND VOLUME VARIANCE BY OPERATING SEGMENTS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71"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32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3080" w:type="dxa"/>
            <w:vAlign w:val="bottom"/>
            <w:tcBorders>
              <w:bottom w:val="single" w:sz="8" w:color="auto"/>
            </w:tcBorders>
            <w:gridSpan w:val="3"/>
          </w:tcPr>
          <w:p>
            <w:pPr>
              <w:jc w:val="right"/>
              <w:ind w:right="623"/>
              <w:spacing w:after="0"/>
              <w:rPr>
                <w:sz w:val="20"/>
                <w:szCs w:val="20"/>
                <w:color w:val="auto"/>
              </w:rPr>
            </w:pPr>
            <w:r>
              <w:rPr>
                <w:rFonts w:ascii="Times New Roman" w:cs="Times New Roman" w:eastAsia="Times New Roman" w:hAnsi="Times New Roman"/>
                <w:sz w:val="10"/>
                <w:szCs w:val="10"/>
                <w:b w:val="1"/>
                <w:bCs w:val="1"/>
                <w:color w:val="auto"/>
              </w:rPr>
              <w:t>First Quarter 2026 vs. First Quarter 2025</w:t>
            </w:r>
          </w:p>
        </w:tc>
        <w:tc>
          <w:tcPr>
            <w:tcW w:w="80" w:type="dxa"/>
            <w:vAlign w:val="bottom"/>
          </w:tcPr>
          <w:p>
            <w:pPr>
              <w:spacing w:after="0"/>
              <w:rPr>
                <w:sz w:val="11"/>
                <w:szCs w:val="11"/>
                <w:color w:val="auto"/>
              </w:rPr>
            </w:pPr>
          </w:p>
        </w:tc>
        <w:tc>
          <w:tcPr>
            <w:tcW w:w="3080" w:type="dxa"/>
            <w:vAlign w:val="bottom"/>
            <w:tcBorders>
              <w:bottom w:val="single" w:sz="8" w:color="auto"/>
            </w:tcBorders>
            <w:gridSpan w:val="3"/>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First Quarter 2026 vs. Fourth Quarter 2025</w:t>
            </w:r>
          </w:p>
        </w:tc>
        <w:tc>
          <w:tcPr>
            <w:tcW w:w="0" w:type="dxa"/>
            <w:vAlign w:val="bottom"/>
          </w:tcPr>
          <w:p>
            <w:pPr>
              <w:spacing w:after="0"/>
              <w:rPr>
                <w:sz w:val="1"/>
                <w:szCs w:val="1"/>
                <w:color w:val="auto"/>
              </w:rPr>
            </w:pPr>
          </w:p>
        </w:tc>
      </w:tr>
      <w:tr>
        <w:trPr>
          <w:trHeight w:val="89"/>
        </w:trPr>
        <w:tc>
          <w:tcPr>
            <w:tcW w:w="32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600" w:type="dxa"/>
            <w:vAlign w:val="bottom"/>
            <w:gridSpan w:val="2"/>
          </w:tcPr>
          <w:p>
            <w:pPr>
              <w:jc w:val="center"/>
              <w:ind w:right="80"/>
              <w:spacing w:after="0" w:line="89" w:lineRule="exact"/>
              <w:rPr>
                <w:sz w:val="20"/>
                <w:szCs w:val="20"/>
                <w:color w:val="auto"/>
              </w:rPr>
            </w:pPr>
            <w:r>
              <w:rPr>
                <w:rFonts w:ascii="Times New Roman" w:cs="Times New Roman" w:eastAsia="Times New Roman" w:hAnsi="Times New Roman"/>
                <w:sz w:val="10"/>
                <w:szCs w:val="10"/>
                <w:b w:val="1"/>
                <w:bCs w:val="1"/>
                <w:color w:val="auto"/>
                <w:w w:val="89"/>
              </w:rPr>
              <w:t>Average</w:t>
            </w:r>
          </w:p>
        </w:tc>
        <w:tc>
          <w:tcPr>
            <w:tcW w:w="15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0"/>
                <w:szCs w:val="10"/>
                <w:b w:val="1"/>
                <w:bCs w:val="1"/>
                <w:color w:val="auto"/>
              </w:rPr>
              <w:t>Volume</w:t>
            </w:r>
          </w:p>
        </w:tc>
        <w:tc>
          <w:tcPr>
            <w:tcW w:w="1600" w:type="dxa"/>
            <w:vAlign w:val="bottom"/>
            <w:gridSpan w:val="2"/>
          </w:tcPr>
          <w:p>
            <w:pPr>
              <w:jc w:val="center"/>
              <w:ind w:right="100"/>
              <w:spacing w:after="0" w:line="89"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1480" w:type="dxa"/>
            <w:vAlign w:val="bottom"/>
            <w:vMerge w:val="restart"/>
          </w:tcPr>
          <w:p>
            <w:pPr>
              <w:jc w:val="right"/>
              <w:ind w:right="523"/>
              <w:spacing w:after="0"/>
              <w:rPr>
                <w:sz w:val="20"/>
                <w:szCs w:val="20"/>
                <w:color w:val="auto"/>
              </w:rPr>
            </w:pPr>
            <w:r>
              <w:rPr>
                <w:rFonts w:ascii="Times New Roman" w:cs="Times New Roman" w:eastAsia="Times New Roman" w:hAnsi="Times New Roman"/>
                <w:sz w:val="10"/>
                <w:szCs w:val="10"/>
                <w:b w:val="1"/>
                <w:bCs w:val="1"/>
                <w:color w:val="auto"/>
              </w:rPr>
              <w:t>Volume</w:t>
            </w: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Sales Price</w:t>
            </w:r>
          </w:p>
        </w:tc>
        <w:tc>
          <w:tcPr>
            <w:tcW w:w="1560" w:type="dxa"/>
            <w:vAlign w:val="bottom"/>
            <w:gridSpan w:val="2"/>
            <w:vMerge w:val="continue"/>
          </w:tcPr>
          <w:p>
            <w:pPr>
              <w:spacing w:after="0"/>
              <w:rPr>
                <w:sz w:val="11"/>
                <w:szCs w:val="11"/>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Sales Price</w:t>
            </w: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Housing and Infrastructure Products</w:t>
            </w:r>
          </w:p>
        </w:tc>
        <w:tc>
          <w:tcPr>
            <w:tcW w:w="180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-2 %</w:t>
            </w:r>
          </w:p>
        </w:tc>
        <w:tc>
          <w:tcPr>
            <w:tcW w:w="10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+2 %</w:t>
            </w:r>
          </w:p>
        </w:tc>
        <w:tc>
          <w:tcPr>
            <w:tcW w:w="8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-5 %</w:t>
            </w:r>
          </w:p>
        </w:tc>
        <w:tc>
          <w:tcPr>
            <w:tcW w:w="10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+15 %</w:t>
            </w:r>
          </w:p>
        </w:tc>
        <w:tc>
          <w:tcPr>
            <w:tcW w:w="0" w:type="dxa"/>
            <w:vAlign w:val="bottom"/>
          </w:tcPr>
          <w:p>
            <w:pPr>
              <w:spacing w:after="0"/>
              <w:rPr>
                <w:sz w:val="1"/>
                <w:szCs w:val="1"/>
                <w:color w:val="auto"/>
              </w:rPr>
            </w:pPr>
          </w:p>
        </w:tc>
      </w:tr>
      <w:tr>
        <w:trPr>
          <w:trHeight w:val="153"/>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Performance and Essential Materials</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-3 %</w:t>
            </w:r>
          </w:p>
        </w:tc>
        <w:tc>
          <w:tcPr>
            <w:tcW w:w="1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-8 %</w:t>
            </w:r>
          </w:p>
        </w:tc>
        <w:tc>
          <w:tcPr>
            <w:tcW w:w="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+3 %</w:t>
            </w:r>
          </w:p>
        </w:tc>
        <w:tc>
          <w:tcPr>
            <w:tcW w:w="1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-2 %</w:t>
            </w:r>
          </w:p>
        </w:tc>
        <w:tc>
          <w:tcPr>
            <w:tcW w:w="0" w:type="dxa"/>
            <w:vAlign w:val="bottom"/>
          </w:tcPr>
          <w:p>
            <w:pPr>
              <w:spacing w:after="0"/>
              <w:rPr>
                <w:sz w:val="1"/>
                <w:szCs w:val="1"/>
                <w:color w:val="auto"/>
              </w:rPr>
            </w:pPr>
          </w:p>
        </w:tc>
      </w:tr>
      <w:tr>
        <w:trPr>
          <w:trHeight w:val="15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Company</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-3 %</w:t>
            </w: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-4 %</w:t>
            </w: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+1 %</w:t>
            </w: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+4 %</w:t>
            </w:r>
          </w:p>
        </w:tc>
        <w:tc>
          <w:tcPr>
            <w:tcW w:w="0" w:type="dxa"/>
            <w:vAlign w:val="bottom"/>
          </w:tcPr>
          <w:p>
            <w:pPr>
              <w:spacing w:after="0"/>
              <w:rPr>
                <w:sz w:val="1"/>
                <w:szCs w:val="1"/>
                <w:color w:val="auto"/>
              </w:rPr>
            </w:pPr>
          </w:p>
        </w:tc>
      </w:tr>
      <w:tr>
        <w:trPr>
          <w:trHeight w:val="585"/>
        </w:trPr>
        <w:tc>
          <w:tcPr>
            <w:tcW w:w="3240" w:type="dxa"/>
            <w:vAlign w:val="bottom"/>
          </w:tcPr>
          <w:p>
            <w:pPr>
              <w:spacing w:after="0"/>
              <w:rPr>
                <w:sz w:val="24"/>
                <w:szCs w:val="24"/>
                <w:color w:val="auto"/>
              </w:rPr>
            </w:pPr>
          </w:p>
        </w:tc>
        <w:tc>
          <w:tcPr>
            <w:tcW w:w="3400" w:type="dxa"/>
            <w:vAlign w:val="bottom"/>
            <w:gridSpan w:val="3"/>
          </w:tcPr>
          <w:p>
            <w:pPr>
              <w:jc w:val="center"/>
              <w:ind w:left="1360"/>
              <w:spacing w:after="0"/>
              <w:rPr>
                <w:sz w:val="20"/>
                <w:szCs w:val="20"/>
                <w:color w:val="auto"/>
              </w:rPr>
            </w:pPr>
            <w:r>
              <w:rPr>
                <w:rFonts w:ascii="Times New Roman" w:cs="Times New Roman" w:eastAsia="Times New Roman" w:hAnsi="Times New Roman"/>
                <w:sz w:val="12"/>
                <w:szCs w:val="12"/>
                <w:b w:val="1"/>
                <w:bCs w:val="1"/>
                <w:color w:val="auto"/>
                <w:w w:val="99"/>
              </w:rPr>
              <w:t>WESTLAKE CORPORATION</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240" w:type="dxa"/>
            <w:vAlign w:val="bottom"/>
          </w:tcPr>
          <w:p>
            <w:pPr>
              <w:spacing w:after="0"/>
              <w:rPr>
                <w:sz w:val="21"/>
                <w:szCs w:val="21"/>
                <w:color w:val="auto"/>
              </w:rPr>
            </w:pPr>
          </w:p>
        </w:tc>
        <w:tc>
          <w:tcPr>
            <w:tcW w:w="3400" w:type="dxa"/>
            <w:vAlign w:val="bottom"/>
            <w:gridSpan w:val="3"/>
          </w:tcPr>
          <w:p>
            <w:pPr>
              <w:jc w:val="center"/>
              <w:ind w:left="1340"/>
              <w:spacing w:after="0"/>
              <w:rPr>
                <w:sz w:val="20"/>
                <w:szCs w:val="20"/>
                <w:color w:val="auto"/>
              </w:rPr>
            </w:pPr>
            <w:r>
              <w:rPr>
                <w:rFonts w:ascii="Times New Roman" w:cs="Times New Roman" w:eastAsia="Times New Roman" w:hAnsi="Times New Roman"/>
                <w:sz w:val="12"/>
                <w:szCs w:val="12"/>
                <w:b w:val="1"/>
                <w:bCs w:val="1"/>
                <w:color w:val="auto"/>
                <w:w w:val="98"/>
              </w:rPr>
              <w:t>SUPPLEMENTAL INFORMATION</w:t>
            </w: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800" w:type="dxa"/>
            <w:vAlign w:val="bottom"/>
            <w:gridSpan w:val="8"/>
          </w:tcPr>
          <w:p>
            <w:pPr>
              <w:jc w:val="center"/>
              <w:ind w:left="1440"/>
              <w:spacing w:after="0"/>
              <w:rPr>
                <w:sz w:val="20"/>
                <w:szCs w:val="20"/>
                <w:color w:val="auto"/>
              </w:rPr>
            </w:pPr>
            <w:r>
              <w:rPr>
                <w:rFonts w:ascii="Times New Roman" w:cs="Times New Roman" w:eastAsia="Times New Roman" w:hAnsi="Times New Roman"/>
                <w:sz w:val="12"/>
                <w:szCs w:val="12"/>
                <w:b w:val="1"/>
                <w:bCs w:val="1"/>
                <w:color w:val="auto"/>
                <w:w w:val="99"/>
              </w:rPr>
              <w:t xml:space="preserve">PRODUCT SALES PRICE AND VOLUME VARIANCE BY OPERATING SEGMENTS - EXCLUDING PLANT CLOSURES AND ACQUISITION </w:t>
            </w:r>
            <w:r>
              <w:rPr>
                <w:rFonts w:ascii="Times New Roman" w:cs="Times New Roman" w:eastAsia="Times New Roman" w:hAnsi="Times New Roman"/>
                <w:sz w:val="15"/>
                <w:szCs w:val="15"/>
                <w:color w:val="auto"/>
                <w:w w:val="99"/>
                <w:vertAlign w:val="superscript"/>
              </w:rPr>
              <w:t>(1)</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80" w:type="dxa"/>
            <w:vAlign w:val="bottom"/>
            <w:tcBorders>
              <w:bottom w:val="single" w:sz="8" w:color="auto"/>
            </w:tcBorders>
            <w:gridSpan w:val="3"/>
          </w:tcPr>
          <w:p>
            <w:pPr>
              <w:jc w:val="right"/>
              <w:ind w:right="623"/>
              <w:spacing w:after="0"/>
              <w:rPr>
                <w:sz w:val="20"/>
                <w:szCs w:val="20"/>
                <w:color w:val="auto"/>
              </w:rPr>
            </w:pPr>
            <w:r>
              <w:rPr>
                <w:rFonts w:ascii="Times New Roman" w:cs="Times New Roman" w:eastAsia="Times New Roman" w:hAnsi="Times New Roman"/>
                <w:sz w:val="10"/>
                <w:szCs w:val="10"/>
                <w:b w:val="1"/>
                <w:bCs w:val="1"/>
                <w:color w:val="auto"/>
              </w:rPr>
              <w:t>First Quarter 2026 vs. First Quarter 2025</w:t>
            </w:r>
          </w:p>
        </w:tc>
        <w:tc>
          <w:tcPr>
            <w:tcW w:w="80" w:type="dxa"/>
            <w:vAlign w:val="bottom"/>
          </w:tcPr>
          <w:p>
            <w:pPr>
              <w:spacing w:after="0"/>
              <w:rPr>
                <w:sz w:val="18"/>
                <w:szCs w:val="18"/>
                <w:color w:val="auto"/>
              </w:rPr>
            </w:pPr>
          </w:p>
        </w:tc>
        <w:tc>
          <w:tcPr>
            <w:tcW w:w="3080" w:type="dxa"/>
            <w:vAlign w:val="bottom"/>
            <w:tcBorders>
              <w:bottom w:val="single" w:sz="8" w:color="auto"/>
            </w:tcBorders>
            <w:gridSpan w:val="3"/>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First Quarter 2026 vs. Fourth Quarter 2025</w:t>
            </w:r>
          </w:p>
        </w:tc>
        <w:tc>
          <w:tcPr>
            <w:tcW w:w="0" w:type="dxa"/>
            <w:vAlign w:val="bottom"/>
          </w:tcPr>
          <w:p>
            <w:pPr>
              <w:spacing w:after="0"/>
              <w:rPr>
                <w:sz w:val="1"/>
                <w:szCs w:val="1"/>
                <w:color w:val="auto"/>
              </w:rPr>
            </w:pPr>
          </w:p>
        </w:tc>
      </w:tr>
      <w:tr>
        <w:trPr>
          <w:trHeight w:val="88"/>
        </w:trPr>
        <w:tc>
          <w:tcPr>
            <w:tcW w:w="32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600" w:type="dxa"/>
            <w:vAlign w:val="bottom"/>
            <w:gridSpan w:val="2"/>
          </w:tcPr>
          <w:p>
            <w:pPr>
              <w:jc w:val="center"/>
              <w:ind w:right="80"/>
              <w:spacing w:after="0" w:line="88" w:lineRule="exact"/>
              <w:rPr>
                <w:sz w:val="20"/>
                <w:szCs w:val="20"/>
                <w:color w:val="auto"/>
              </w:rPr>
            </w:pPr>
            <w:r>
              <w:rPr>
                <w:rFonts w:ascii="Times New Roman" w:cs="Times New Roman" w:eastAsia="Times New Roman" w:hAnsi="Times New Roman"/>
                <w:sz w:val="10"/>
                <w:szCs w:val="10"/>
                <w:b w:val="1"/>
                <w:bCs w:val="1"/>
                <w:color w:val="auto"/>
                <w:w w:val="89"/>
              </w:rPr>
              <w:t>Average</w:t>
            </w:r>
          </w:p>
        </w:tc>
        <w:tc>
          <w:tcPr>
            <w:tcW w:w="15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0"/>
                <w:szCs w:val="10"/>
                <w:b w:val="1"/>
                <w:bCs w:val="1"/>
                <w:color w:val="auto"/>
              </w:rPr>
              <w:t>Volume</w:t>
            </w:r>
          </w:p>
        </w:tc>
        <w:tc>
          <w:tcPr>
            <w:tcW w:w="1600" w:type="dxa"/>
            <w:vAlign w:val="bottom"/>
            <w:gridSpan w:val="2"/>
          </w:tcPr>
          <w:p>
            <w:pPr>
              <w:jc w:val="center"/>
              <w:ind w:right="100"/>
              <w:spacing w:after="0" w:line="88"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1480" w:type="dxa"/>
            <w:vAlign w:val="bottom"/>
            <w:vMerge w:val="restart"/>
          </w:tcPr>
          <w:p>
            <w:pPr>
              <w:jc w:val="right"/>
              <w:ind w:right="523"/>
              <w:spacing w:after="0"/>
              <w:rPr>
                <w:sz w:val="20"/>
                <w:szCs w:val="20"/>
                <w:color w:val="auto"/>
              </w:rPr>
            </w:pPr>
            <w:r>
              <w:rPr>
                <w:rFonts w:ascii="Times New Roman" w:cs="Times New Roman" w:eastAsia="Times New Roman" w:hAnsi="Times New Roman"/>
                <w:sz w:val="10"/>
                <w:szCs w:val="10"/>
                <w:b w:val="1"/>
                <w:bCs w:val="1"/>
                <w:color w:val="auto"/>
              </w:rPr>
              <w:t>Volume</w:t>
            </w:r>
          </w:p>
        </w:tc>
        <w:tc>
          <w:tcPr>
            <w:tcW w:w="0" w:type="dxa"/>
            <w:vAlign w:val="bottom"/>
          </w:tcPr>
          <w:p>
            <w:pPr>
              <w:spacing w:after="0"/>
              <w:rPr>
                <w:sz w:val="1"/>
                <w:szCs w:val="1"/>
                <w:color w:val="auto"/>
              </w:rPr>
            </w:pPr>
          </w:p>
        </w:tc>
      </w:tr>
      <w:tr>
        <w:trPr>
          <w:trHeight w:val="130"/>
        </w:trPr>
        <w:tc>
          <w:tcPr>
            <w:tcW w:w="32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Sales Price</w:t>
            </w:r>
          </w:p>
        </w:tc>
        <w:tc>
          <w:tcPr>
            <w:tcW w:w="1560" w:type="dxa"/>
            <w:vAlign w:val="bottom"/>
            <w:gridSpan w:val="2"/>
            <w:vMerge w:val="continue"/>
          </w:tcPr>
          <w:p>
            <w:pPr>
              <w:spacing w:after="0"/>
              <w:rPr>
                <w:sz w:val="11"/>
                <w:szCs w:val="11"/>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Sales Price</w:t>
            </w: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Housing and Infrastructure Products</w:t>
            </w:r>
          </w:p>
        </w:tc>
        <w:tc>
          <w:tcPr>
            <w:tcW w:w="180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-2 %</w:t>
            </w:r>
          </w:p>
        </w:tc>
        <w:tc>
          <w:tcPr>
            <w:tcW w:w="10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-2 %</w:t>
            </w:r>
          </w:p>
        </w:tc>
        <w:tc>
          <w:tcPr>
            <w:tcW w:w="8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-5 %</w:t>
            </w:r>
          </w:p>
        </w:tc>
        <w:tc>
          <w:tcPr>
            <w:tcW w:w="10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+10 %</w:t>
            </w:r>
          </w:p>
        </w:tc>
        <w:tc>
          <w:tcPr>
            <w:tcW w:w="0" w:type="dxa"/>
            <w:vAlign w:val="bottom"/>
          </w:tcPr>
          <w:p>
            <w:pPr>
              <w:spacing w:after="0"/>
              <w:rPr>
                <w:sz w:val="1"/>
                <w:szCs w:val="1"/>
                <w:color w:val="auto"/>
              </w:rPr>
            </w:pPr>
          </w:p>
        </w:tc>
      </w:tr>
      <w:tr>
        <w:trPr>
          <w:trHeight w:val="153"/>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Performance and Essential Materials</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-3 %</w:t>
            </w:r>
          </w:p>
        </w:tc>
        <w:tc>
          <w:tcPr>
            <w:tcW w:w="10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+3 %</w:t>
            </w:r>
          </w:p>
        </w:tc>
        <w:tc>
          <w:tcPr>
            <w:tcW w:w="1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+3 %</w:t>
            </w:r>
          </w:p>
        </w:tc>
        <w:tc>
          <w:tcPr>
            <w:tcW w:w="0" w:type="dxa"/>
            <w:vAlign w:val="bottom"/>
          </w:tcPr>
          <w:p>
            <w:pPr>
              <w:spacing w:after="0"/>
              <w:rPr>
                <w:sz w:val="1"/>
                <w:szCs w:val="1"/>
                <w:color w:val="auto"/>
              </w:rPr>
            </w:pPr>
          </w:p>
        </w:tc>
      </w:tr>
      <w:tr>
        <w:trPr>
          <w:trHeight w:val="15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Company</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-3 %</w:t>
            </w: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-1 %</w:t>
            </w: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+1 %</w:t>
            </w: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+6 %</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7"/>
          <w:szCs w:val="7"/>
          <w:color w:val="auto"/>
        </w:rPr>
        <w:t>______________________________</w:t>
      </w:r>
    </w:p>
    <w:p>
      <w:pPr>
        <w:spacing w:after="0" w:line="44" w:lineRule="exact"/>
        <w:rPr>
          <w:sz w:val="20"/>
          <w:szCs w:val="20"/>
          <w:color w:val="auto"/>
        </w:rPr>
      </w:pPr>
    </w:p>
    <w:p>
      <w:pPr>
        <w:ind w:left="268" w:hanging="268"/>
        <w:spacing w:after="0"/>
        <w:tabs>
          <w:tab w:leader="none" w:pos="26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Adjustments include:</w:t>
      </w:r>
    </w:p>
    <w:p>
      <w:pPr>
        <w:spacing w:after="0" w:line="42" w:lineRule="exact"/>
        <w:rPr>
          <w:rFonts w:ascii="Times New Roman" w:cs="Times New Roman" w:eastAsia="Times New Roman" w:hAnsi="Times New Roman"/>
          <w:sz w:val="12"/>
          <w:szCs w:val="12"/>
          <w:color w:val="auto"/>
        </w:rPr>
      </w:pPr>
    </w:p>
    <w:p>
      <w:pPr>
        <w:jc w:val="both"/>
        <w:ind w:left="708" w:right="100" w:hanging="276"/>
        <w:spacing w:after="0" w:line="265" w:lineRule="auto"/>
        <w:tabs>
          <w:tab w:leader="none" w:pos="701" w:val="left"/>
        </w:tabs>
        <w:numPr>
          <w:ilvl w:val="1"/>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Excludes sales in the comparative periods related to certain of the Company's North America Chlorovinyls production facilities, including (i) its polyvinyl chloride plant at the Aberdeen, Mississippi facility, (ii) its vinyl chloride monomer plant at the Lake Charles, Louisiana North facility, and (iii) one of its diaphragm chlor-alkali units at the Lake Charles, Louisiana South facility, and the Company's styrene production plant located at the Lake Charles, Louisiana facilities, each of which ceased operations in December 2025.</w:t>
      </w:r>
    </w:p>
    <w:p>
      <w:pPr>
        <w:spacing w:after="0" w:line="10" w:lineRule="exact"/>
        <w:rPr>
          <w:rFonts w:ascii="Times New Roman" w:cs="Times New Roman" w:eastAsia="Times New Roman" w:hAnsi="Times New Roman"/>
          <w:sz w:val="12"/>
          <w:szCs w:val="12"/>
          <w:color w:val="auto"/>
        </w:rPr>
      </w:pPr>
    </w:p>
    <w:p>
      <w:pPr>
        <w:ind w:left="708" w:hanging="276"/>
        <w:spacing w:after="0"/>
        <w:tabs>
          <w:tab w:leader="none" w:pos="708" w:val="left"/>
        </w:tabs>
        <w:numPr>
          <w:ilvl w:val="1"/>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Excludes sales in the comparative periods related to a PVC resin production unit in China at the Company's 95% owned Huasu joint venture, which ceased operations in June 2025.</w:t>
      </w:r>
    </w:p>
    <w:p>
      <w:pPr>
        <w:spacing w:after="0" w:line="42" w:lineRule="exact"/>
        <w:rPr>
          <w:rFonts w:ascii="Times New Roman" w:cs="Times New Roman" w:eastAsia="Times New Roman" w:hAnsi="Times New Roman"/>
          <w:sz w:val="12"/>
          <w:szCs w:val="12"/>
          <w:color w:val="auto"/>
        </w:rPr>
      </w:pPr>
    </w:p>
    <w:p>
      <w:pPr>
        <w:ind w:left="688" w:hanging="256"/>
        <w:spacing w:after="0"/>
        <w:tabs>
          <w:tab w:leader="none" w:pos="688" w:val="left"/>
        </w:tabs>
        <w:numPr>
          <w:ilvl w:val="1"/>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Excludes Q1 2026 sales related to ACI, which was acquired by the Company in January 2026.</w:t>
      </w:r>
    </w:p>
    <w:p>
      <w:pPr>
        <w:spacing w:after="0" w:line="200" w:lineRule="exact"/>
        <w:rPr>
          <w:sz w:val="20"/>
          <w:szCs w:val="20"/>
          <w:color w:val="auto"/>
        </w:rPr>
      </w:pPr>
    </w:p>
    <w:p>
      <w:pPr>
        <w:spacing w:after="0" w:line="37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xiv</w:t>
      </w:r>
    </w:p>
    <w:p>
      <w:pPr>
        <w:sectPr>
          <w:pgSz w:w="11900" w:h="16838" w:orient="portrait"/>
          <w:cols w:equalWidth="0" w:num="1">
            <w:col w:w="11288"/>
          </w:cols>
          <w:pgMar w:left="292" w:top="863" w:right="319" w:bottom="1440"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2026-05-05T06:32:46Z</dcterms:created>
  <dcterms:modified xsi:type="dcterms:W3CDTF">2026-05-05T06:32:46Z</dcterms:modified>
</cp:coreProperties>
</file>