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5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8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11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Pursuant to Section 13 or 15(d) of</w:t>
      </w:r>
    </w:p>
    <w:p>
      <w:pPr>
        <w:spacing w:after="0" w:line="2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the Securities Exchange Act of 1934</w:t>
      </w:r>
    </w:p>
    <w:p>
      <w:pPr>
        <w:spacing w:after="0" w:line="10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November 4, 2026</w:t>
      </w:r>
    </w:p>
    <w:p>
      <w:pPr>
        <w:spacing w:after="0" w:line="26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Westlake Corporation</w:t>
      </w:r>
    </w:p>
    <w:p>
      <w:pPr>
        <w:spacing w:after="0" w:line="4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87" w:lineRule="exact"/>
        <w:rPr>
          <w:sz w:val="24"/>
          <w:szCs w:val="24"/>
          <w:color w:val="auto"/>
        </w:rPr>
      </w:pPr>
    </w:p>
    <w:tbl>
      <w:tblPr>
        <w:tblLayout w:type="fixed"/>
        <w:tblInd w:w="1020" w:type="dxa"/>
        <w:tblCellMar>
          <w:top w:w="0" w:type="dxa"/>
          <w:left w:w="0" w:type="dxa"/>
          <w:bottom w:w="0" w:type="dxa"/>
          <w:right w:w="0" w:type="dxa"/>
        </w:tblCellMar>
      </w:tblPr>
      <w:tr>
        <w:trPr>
          <w:trHeight w:val="151"/>
        </w:trPr>
        <w:tc>
          <w:tcPr>
            <w:tcW w:w="2240" w:type="dxa"/>
            <w:vAlign w:val="bottom"/>
          </w:tcPr>
          <w:p>
            <w:pPr>
              <w:jc w:val="center"/>
              <w:ind w:right="606"/>
              <w:spacing w:after="0"/>
              <w:rPr>
                <w:sz w:val="20"/>
                <w:szCs w:val="20"/>
                <w:color w:val="auto"/>
              </w:rPr>
            </w:pPr>
            <w:r>
              <w:rPr>
                <w:rFonts w:ascii="Times New Roman" w:cs="Times New Roman" w:eastAsia="Times New Roman" w:hAnsi="Times New Roman"/>
                <w:sz w:val="12"/>
                <w:szCs w:val="12"/>
                <w:b w:val="1"/>
                <w:bCs w:val="1"/>
                <w:color w:val="auto"/>
              </w:rPr>
              <w:t>Delaware</w:t>
            </w:r>
          </w:p>
        </w:tc>
        <w:tc>
          <w:tcPr>
            <w:tcW w:w="4940" w:type="dxa"/>
            <w:vAlign w:val="bottom"/>
          </w:tcPr>
          <w:p>
            <w:pPr>
              <w:jc w:val="center"/>
              <w:ind w:right="162"/>
              <w:spacing w:after="0"/>
              <w:rPr>
                <w:sz w:val="20"/>
                <w:szCs w:val="20"/>
                <w:color w:val="auto"/>
              </w:rPr>
            </w:pPr>
            <w:r>
              <w:rPr>
                <w:rFonts w:ascii="Times New Roman" w:cs="Times New Roman" w:eastAsia="Times New Roman" w:hAnsi="Times New Roman"/>
                <w:sz w:val="12"/>
                <w:szCs w:val="12"/>
                <w:b w:val="1"/>
                <w:bCs w:val="1"/>
                <w:color w:val="auto"/>
                <w:w w:val="99"/>
              </w:rPr>
              <w:t>001-32260</w:t>
            </w:r>
          </w:p>
        </w:tc>
        <w:tc>
          <w:tcPr>
            <w:tcW w:w="1600" w:type="dxa"/>
            <w:vAlign w:val="bottom"/>
          </w:tcPr>
          <w:p>
            <w:pPr>
              <w:jc w:val="right"/>
              <w:ind w:right="47"/>
              <w:spacing w:after="0"/>
              <w:rPr>
                <w:sz w:val="20"/>
                <w:szCs w:val="20"/>
                <w:color w:val="auto"/>
              </w:rPr>
            </w:pPr>
            <w:r>
              <w:rPr>
                <w:rFonts w:ascii="Times New Roman" w:cs="Times New Roman" w:eastAsia="Times New Roman" w:hAnsi="Times New Roman"/>
                <w:sz w:val="12"/>
                <w:szCs w:val="12"/>
                <w:b w:val="1"/>
                <w:bCs w:val="1"/>
                <w:color w:val="auto"/>
              </w:rPr>
              <w:t>76-0346924</w:t>
            </w:r>
          </w:p>
        </w:tc>
      </w:tr>
      <w:tr>
        <w:trPr>
          <w:trHeight w:val="99"/>
        </w:trPr>
        <w:tc>
          <w:tcPr>
            <w:tcW w:w="2240" w:type="dxa"/>
            <w:vAlign w:val="bottom"/>
          </w:tcPr>
          <w:p>
            <w:pPr>
              <w:jc w:val="center"/>
              <w:ind w:right="606"/>
              <w:spacing w:after="0" w:line="99" w:lineRule="exact"/>
              <w:rPr>
                <w:sz w:val="20"/>
                <w:szCs w:val="20"/>
                <w:color w:val="auto"/>
              </w:rPr>
            </w:pPr>
            <w:r>
              <w:rPr>
                <w:rFonts w:ascii="Times New Roman" w:cs="Times New Roman" w:eastAsia="Times New Roman" w:hAnsi="Times New Roman"/>
                <w:sz w:val="10"/>
                <w:szCs w:val="10"/>
                <w:b w:val="1"/>
                <w:bCs w:val="1"/>
                <w:color w:val="auto"/>
                <w:w w:val="96"/>
              </w:rPr>
              <w:t>(State or other jurisdiction</w:t>
            </w:r>
          </w:p>
        </w:tc>
        <w:tc>
          <w:tcPr>
            <w:tcW w:w="4940" w:type="dxa"/>
            <w:vAlign w:val="bottom"/>
          </w:tcPr>
          <w:p>
            <w:pPr>
              <w:jc w:val="center"/>
              <w:ind w:right="182"/>
              <w:spacing w:after="0" w:line="99" w:lineRule="exact"/>
              <w:rPr>
                <w:sz w:val="20"/>
                <w:szCs w:val="20"/>
                <w:color w:val="auto"/>
              </w:rPr>
            </w:pPr>
            <w:r>
              <w:rPr>
                <w:rFonts w:ascii="Times New Roman" w:cs="Times New Roman" w:eastAsia="Times New Roman" w:hAnsi="Times New Roman"/>
                <w:sz w:val="10"/>
                <w:szCs w:val="10"/>
                <w:b w:val="1"/>
                <w:bCs w:val="1"/>
                <w:color w:val="auto"/>
                <w:w w:val="94"/>
              </w:rPr>
              <w:t>(Commission File Number)</w:t>
            </w:r>
          </w:p>
        </w:tc>
        <w:tc>
          <w:tcPr>
            <w:tcW w:w="1600" w:type="dxa"/>
            <w:vAlign w:val="bottom"/>
          </w:tcPr>
          <w:p>
            <w:pPr>
              <w:jc w:val="center"/>
              <w:ind w:left="787"/>
              <w:spacing w:after="0" w:line="99" w:lineRule="exact"/>
              <w:rPr>
                <w:sz w:val="20"/>
                <w:szCs w:val="20"/>
                <w:color w:val="auto"/>
              </w:rPr>
            </w:pPr>
            <w:r>
              <w:rPr>
                <w:rFonts w:ascii="Times New Roman" w:cs="Times New Roman" w:eastAsia="Times New Roman" w:hAnsi="Times New Roman"/>
                <w:sz w:val="10"/>
                <w:szCs w:val="10"/>
                <w:b w:val="1"/>
                <w:bCs w:val="1"/>
                <w:color w:val="auto"/>
                <w:w w:val="94"/>
              </w:rPr>
              <w:t>(I.R.S. Employer</w:t>
            </w:r>
          </w:p>
        </w:tc>
      </w:tr>
      <w:tr>
        <w:trPr>
          <w:trHeight w:val="125"/>
        </w:trPr>
        <w:tc>
          <w:tcPr>
            <w:tcW w:w="2240" w:type="dxa"/>
            <w:vAlign w:val="bottom"/>
          </w:tcPr>
          <w:p>
            <w:pPr>
              <w:jc w:val="center"/>
              <w:ind w:right="606"/>
              <w:spacing w:after="0"/>
              <w:rPr>
                <w:sz w:val="20"/>
                <w:szCs w:val="20"/>
                <w:color w:val="auto"/>
              </w:rPr>
            </w:pPr>
            <w:r>
              <w:rPr>
                <w:rFonts w:ascii="Times New Roman" w:cs="Times New Roman" w:eastAsia="Times New Roman" w:hAnsi="Times New Roman"/>
                <w:sz w:val="10"/>
                <w:szCs w:val="10"/>
                <w:b w:val="1"/>
                <w:bCs w:val="1"/>
                <w:color w:val="auto"/>
                <w:w w:val="95"/>
              </w:rPr>
              <w:t>of incorporation)</w:t>
            </w:r>
          </w:p>
        </w:tc>
        <w:tc>
          <w:tcPr>
            <w:tcW w:w="4940" w:type="dxa"/>
            <w:vAlign w:val="bottom"/>
          </w:tcPr>
          <w:p>
            <w:pPr>
              <w:spacing w:after="0"/>
              <w:rPr>
                <w:sz w:val="10"/>
                <w:szCs w:val="10"/>
                <w:color w:val="auto"/>
              </w:rPr>
            </w:pPr>
          </w:p>
        </w:tc>
        <w:tc>
          <w:tcPr>
            <w:tcW w:w="1600" w:type="dxa"/>
            <w:vAlign w:val="bottom"/>
          </w:tcPr>
          <w:p>
            <w:pPr>
              <w:jc w:val="center"/>
              <w:ind w:left="787"/>
              <w:spacing w:after="0"/>
              <w:rPr>
                <w:sz w:val="20"/>
                <w:szCs w:val="20"/>
                <w:color w:val="auto"/>
              </w:rPr>
            </w:pPr>
            <w:r>
              <w:rPr>
                <w:rFonts w:ascii="Times New Roman" w:cs="Times New Roman" w:eastAsia="Times New Roman" w:hAnsi="Times New Roman"/>
                <w:sz w:val="10"/>
                <w:szCs w:val="10"/>
                <w:b w:val="1"/>
                <w:bCs w:val="1"/>
                <w:color w:val="auto"/>
                <w:w w:val="96"/>
              </w:rPr>
              <w:t>Identification No.)</w:t>
            </w:r>
          </w:p>
        </w:tc>
      </w:tr>
      <w:tr>
        <w:trPr>
          <w:trHeight w:val="452"/>
        </w:trPr>
        <w:tc>
          <w:tcPr>
            <w:tcW w:w="2240" w:type="dxa"/>
            <w:vAlign w:val="bottom"/>
          </w:tcPr>
          <w:p>
            <w:pPr>
              <w:jc w:val="center"/>
              <w:ind w:right="606"/>
              <w:spacing w:after="0"/>
              <w:rPr>
                <w:sz w:val="20"/>
                <w:szCs w:val="20"/>
                <w:color w:val="auto"/>
              </w:rPr>
            </w:pPr>
            <w:r>
              <w:rPr>
                <w:rFonts w:ascii="Times New Roman" w:cs="Times New Roman" w:eastAsia="Times New Roman" w:hAnsi="Times New Roman"/>
                <w:sz w:val="12"/>
                <w:szCs w:val="12"/>
                <w:b w:val="1"/>
                <w:bCs w:val="1"/>
                <w:color w:val="auto"/>
              </w:rPr>
              <w:t>5444 Westheimer</w:t>
            </w:r>
          </w:p>
        </w:tc>
        <w:tc>
          <w:tcPr>
            <w:tcW w:w="4940" w:type="dxa"/>
            <w:vAlign w:val="bottom"/>
          </w:tcPr>
          <w:p>
            <w:pPr>
              <w:ind w:left="2140"/>
              <w:spacing w:after="0"/>
              <w:rPr>
                <w:sz w:val="20"/>
                <w:szCs w:val="20"/>
                <w:color w:val="auto"/>
              </w:rPr>
            </w:pPr>
            <w:r>
              <w:rPr>
                <w:rFonts w:ascii="Times New Roman" w:cs="Times New Roman" w:eastAsia="Times New Roman" w:hAnsi="Times New Roman"/>
                <w:sz w:val="12"/>
                <w:szCs w:val="12"/>
                <w:b w:val="1"/>
                <w:bCs w:val="1"/>
                <w:color w:val="auto"/>
              </w:rPr>
              <w:t>Suite 101</w:t>
            </w:r>
          </w:p>
        </w:tc>
        <w:tc>
          <w:tcPr>
            <w:tcW w:w="1600" w:type="dxa"/>
            <w:vAlign w:val="bottom"/>
          </w:tcPr>
          <w:p>
            <w:pPr>
              <w:spacing w:after="0"/>
              <w:rPr>
                <w:sz w:val="24"/>
                <w:szCs w:val="24"/>
                <w:color w:val="auto"/>
              </w:rPr>
            </w:pPr>
          </w:p>
        </w:tc>
      </w:tr>
      <w:tr>
        <w:trPr>
          <w:trHeight w:val="151"/>
        </w:trPr>
        <w:tc>
          <w:tcPr>
            <w:tcW w:w="2240" w:type="dxa"/>
            <w:vAlign w:val="bottom"/>
          </w:tcPr>
          <w:p>
            <w:pPr>
              <w:jc w:val="center"/>
              <w:ind w:right="606"/>
              <w:spacing w:after="0"/>
              <w:rPr>
                <w:sz w:val="20"/>
                <w:szCs w:val="20"/>
                <w:color w:val="auto"/>
              </w:rPr>
            </w:pPr>
            <w:r>
              <w:rPr>
                <w:rFonts w:ascii="Times New Roman" w:cs="Times New Roman" w:eastAsia="Times New Roman" w:hAnsi="Times New Roman"/>
                <w:sz w:val="12"/>
                <w:szCs w:val="12"/>
                <w:b w:val="1"/>
                <w:bCs w:val="1"/>
                <w:color w:val="auto"/>
                <w:w w:val="99"/>
              </w:rPr>
              <w:t>Houston,</w:t>
            </w:r>
          </w:p>
        </w:tc>
        <w:tc>
          <w:tcPr>
            <w:tcW w:w="4940" w:type="dxa"/>
            <w:vAlign w:val="bottom"/>
          </w:tcPr>
          <w:p>
            <w:pPr>
              <w:jc w:val="center"/>
              <w:ind w:right="182"/>
              <w:spacing w:after="0"/>
              <w:rPr>
                <w:sz w:val="20"/>
                <w:szCs w:val="20"/>
                <w:color w:val="auto"/>
              </w:rPr>
            </w:pPr>
            <w:r>
              <w:rPr>
                <w:rFonts w:ascii="Times New Roman" w:cs="Times New Roman" w:eastAsia="Times New Roman" w:hAnsi="Times New Roman"/>
                <w:sz w:val="12"/>
                <w:szCs w:val="12"/>
                <w:b w:val="1"/>
                <w:bCs w:val="1"/>
                <w:color w:val="auto"/>
                <w:w w:val="99"/>
              </w:rPr>
              <w:t>Texas</w:t>
            </w:r>
          </w:p>
        </w:tc>
        <w:tc>
          <w:tcPr>
            <w:tcW w:w="1600" w:type="dxa"/>
            <w:vAlign w:val="bottom"/>
          </w:tcPr>
          <w:p>
            <w:pPr>
              <w:jc w:val="right"/>
              <w:ind w:right="187"/>
              <w:spacing w:after="0"/>
              <w:rPr>
                <w:sz w:val="20"/>
                <w:szCs w:val="20"/>
                <w:color w:val="auto"/>
              </w:rPr>
            </w:pPr>
            <w:r>
              <w:rPr>
                <w:rFonts w:ascii="Times New Roman" w:cs="Times New Roman" w:eastAsia="Times New Roman" w:hAnsi="Times New Roman"/>
                <w:sz w:val="12"/>
                <w:szCs w:val="12"/>
                <w:b w:val="1"/>
                <w:bCs w:val="1"/>
                <w:color w:val="auto"/>
              </w:rPr>
              <w:t>77056</w:t>
            </w:r>
          </w:p>
        </w:tc>
      </w:tr>
      <w:tr>
        <w:trPr>
          <w:trHeight w:val="125"/>
        </w:trPr>
        <w:tc>
          <w:tcPr>
            <w:tcW w:w="2240" w:type="dxa"/>
            <w:vAlign w:val="bottom"/>
          </w:tcPr>
          <w:p>
            <w:pPr>
              <w:jc w:val="center"/>
              <w:ind w:right="606"/>
              <w:spacing w:after="0"/>
              <w:rPr>
                <w:sz w:val="20"/>
                <w:szCs w:val="20"/>
                <w:color w:val="auto"/>
              </w:rPr>
            </w:pPr>
            <w:r>
              <w:rPr>
                <w:rFonts w:ascii="Times New Roman" w:cs="Times New Roman" w:eastAsia="Times New Roman" w:hAnsi="Times New Roman"/>
                <w:sz w:val="10"/>
                <w:szCs w:val="10"/>
                <w:b w:val="1"/>
                <w:bCs w:val="1"/>
                <w:color w:val="auto"/>
                <w:w w:val="95"/>
              </w:rPr>
              <w:t>(Address of principal executive offices)</w:t>
            </w:r>
          </w:p>
        </w:tc>
        <w:tc>
          <w:tcPr>
            <w:tcW w:w="4940" w:type="dxa"/>
            <w:vAlign w:val="bottom"/>
          </w:tcPr>
          <w:p>
            <w:pPr>
              <w:spacing w:after="0"/>
              <w:rPr>
                <w:sz w:val="10"/>
                <w:szCs w:val="10"/>
                <w:color w:val="auto"/>
              </w:rPr>
            </w:pPr>
          </w:p>
        </w:tc>
        <w:tc>
          <w:tcPr>
            <w:tcW w:w="1600" w:type="dxa"/>
            <w:vAlign w:val="bottom"/>
          </w:tcPr>
          <w:p>
            <w:pPr>
              <w:jc w:val="center"/>
              <w:ind w:left="787"/>
              <w:spacing w:after="0"/>
              <w:rPr>
                <w:sz w:val="20"/>
                <w:szCs w:val="20"/>
                <w:color w:val="auto"/>
              </w:rPr>
            </w:pPr>
            <w:r>
              <w:rPr>
                <w:rFonts w:ascii="Times New Roman" w:cs="Times New Roman" w:eastAsia="Times New Roman" w:hAnsi="Times New Roman"/>
                <w:sz w:val="10"/>
                <w:szCs w:val="10"/>
                <w:b w:val="1"/>
                <w:bCs w:val="1"/>
                <w:color w:val="auto"/>
                <w:w w:val="94"/>
              </w:rPr>
              <w:t>(Zip Code)</w:t>
            </w:r>
          </w:p>
        </w:tc>
      </w:tr>
      <w:tr>
        <w:trPr>
          <w:trHeight w:val="332"/>
        </w:trPr>
        <w:tc>
          <w:tcPr>
            <w:tcW w:w="2240" w:type="dxa"/>
            <w:vAlign w:val="bottom"/>
          </w:tcPr>
          <w:p>
            <w:pPr>
              <w:spacing w:after="0"/>
              <w:rPr>
                <w:sz w:val="24"/>
                <w:szCs w:val="24"/>
                <w:color w:val="auto"/>
              </w:rPr>
            </w:pPr>
          </w:p>
        </w:tc>
        <w:tc>
          <w:tcPr>
            <w:tcW w:w="4940" w:type="dxa"/>
            <w:vAlign w:val="bottom"/>
          </w:tcPr>
          <w:p>
            <w:pPr>
              <w:ind w:left="660"/>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 (713) 960-9111</w:t>
            </w:r>
          </w:p>
        </w:tc>
        <w:tc>
          <w:tcPr>
            <w:tcW w:w="1600" w:type="dxa"/>
            <w:vAlign w:val="bottom"/>
          </w:tcPr>
          <w:p>
            <w:pPr>
              <w:spacing w:after="0"/>
              <w:rPr>
                <w:sz w:val="24"/>
                <w:szCs w:val="24"/>
                <w:color w:val="auto"/>
              </w:rPr>
            </w:pPr>
          </w:p>
        </w:tc>
      </w:tr>
    </w:tbl>
    <w:p>
      <w:pPr>
        <w:spacing w:after="0" w:line="25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249" w:lineRule="exact"/>
        <w:rPr>
          <w:sz w:val="24"/>
          <w:szCs w:val="24"/>
          <w:color w:val="auto"/>
        </w:rPr>
      </w:pPr>
    </w:p>
    <w:p>
      <w:pPr>
        <w:ind w:left="680" w:hanging="676"/>
        <w:spacing w:after="0"/>
        <w:tabs>
          <w:tab w:leader="none" w:pos="6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27" w:lineRule="exact"/>
        <w:rPr>
          <w:rFonts w:ascii="MS PGothic" w:cs="MS PGothic" w:eastAsia="MS PGothic" w:hAnsi="MS PGothic"/>
          <w:sz w:val="12"/>
          <w:szCs w:val="12"/>
          <w:color w:val="auto"/>
        </w:rPr>
      </w:pPr>
    </w:p>
    <w:p>
      <w:pPr>
        <w:ind w:left="680" w:hanging="676"/>
        <w:spacing w:after="0"/>
        <w:tabs>
          <w:tab w:leader="none" w:pos="6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 w:lineRule="exact"/>
        <w:rPr>
          <w:rFonts w:ascii="MS PGothic" w:cs="MS PGothic" w:eastAsia="MS PGothic" w:hAnsi="MS PGothic"/>
          <w:sz w:val="12"/>
          <w:szCs w:val="12"/>
          <w:color w:val="auto"/>
        </w:rPr>
      </w:pPr>
    </w:p>
    <w:p>
      <w:pPr>
        <w:ind w:left="680" w:hanging="676"/>
        <w:spacing w:after="0"/>
        <w:tabs>
          <w:tab w:leader="none" w:pos="6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 w:lineRule="exact"/>
        <w:rPr>
          <w:rFonts w:ascii="MS PGothic" w:cs="MS PGothic" w:eastAsia="MS PGothic" w:hAnsi="MS PGothic"/>
          <w:sz w:val="12"/>
          <w:szCs w:val="12"/>
          <w:color w:val="auto"/>
        </w:rPr>
      </w:pPr>
    </w:p>
    <w:p>
      <w:pPr>
        <w:ind w:left="680" w:hanging="676"/>
        <w:spacing w:after="0"/>
        <w:tabs>
          <w:tab w:leader="none" w:pos="6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78" w:lineRule="exact"/>
        <w:rPr>
          <w:sz w:val="24"/>
          <w:szCs w:val="24"/>
          <w:color w:val="auto"/>
        </w:rPr>
      </w:pPr>
    </w:p>
    <w:tbl>
      <w:tblPr>
        <w:tblLayout w:type="fixed"/>
        <w:tblInd w:w="110" w:type="dxa"/>
        <w:tblCellMar>
          <w:top w:w="0" w:type="dxa"/>
          <w:left w:w="0" w:type="dxa"/>
          <w:bottom w:w="0" w:type="dxa"/>
          <w:right w:w="0" w:type="dxa"/>
        </w:tblCellMar>
      </w:tblPr>
      <w:tr>
        <w:trPr>
          <w:trHeight w:val="162"/>
        </w:trPr>
        <w:tc>
          <w:tcPr>
            <w:tcW w:w="32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3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Trading Symbol(s)</w:t>
            </w:r>
          </w:p>
        </w:tc>
        <w:tc>
          <w:tcPr>
            <w:tcW w:w="44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106"/>
        </w:trPr>
        <w:tc>
          <w:tcPr>
            <w:tcW w:w="3280" w:type="dxa"/>
            <w:vAlign w:val="bottom"/>
            <w:tcBorders>
              <w:left w:val="single" w:sz="8" w:color="auto"/>
              <w:right w:val="single" w:sz="8" w:color="auto"/>
            </w:tcBorders>
          </w:tcPr>
          <w:p>
            <w:pPr>
              <w:spacing w:after="0"/>
              <w:rPr>
                <w:sz w:val="9"/>
                <w:szCs w:val="9"/>
                <w:color w:val="auto"/>
              </w:rPr>
            </w:pPr>
          </w:p>
        </w:tc>
        <w:tc>
          <w:tcPr>
            <w:tcW w:w="3380" w:type="dxa"/>
            <w:vAlign w:val="bottom"/>
            <w:tcBorders>
              <w:right w:val="single" w:sz="8" w:color="auto"/>
            </w:tcBorders>
          </w:tcPr>
          <w:p>
            <w:pPr>
              <w:spacing w:after="0"/>
              <w:rPr>
                <w:sz w:val="9"/>
                <w:szCs w:val="9"/>
                <w:color w:val="auto"/>
              </w:rPr>
            </w:pPr>
          </w:p>
        </w:tc>
        <w:tc>
          <w:tcPr>
            <w:tcW w:w="4440" w:type="dxa"/>
            <w:vAlign w:val="bottom"/>
            <w:tcBorders>
              <w:right w:val="single" w:sz="8" w:color="auto"/>
            </w:tcBorders>
          </w:tcPr>
          <w:p>
            <w:pPr>
              <w:jc w:val="center"/>
              <w:spacing w:after="0" w:line="106" w:lineRule="exact"/>
              <w:rPr>
                <w:sz w:val="20"/>
                <w:szCs w:val="20"/>
                <w:color w:val="auto"/>
              </w:rPr>
            </w:pPr>
            <w:r>
              <w:rPr>
                <w:rFonts w:ascii="Times New Roman" w:cs="Times New Roman" w:eastAsia="Times New Roman" w:hAnsi="Times New Roman"/>
                <w:sz w:val="12"/>
                <w:szCs w:val="12"/>
                <w:color w:val="auto"/>
                <w:w w:val="99"/>
              </w:rPr>
              <w:t>The New York Stock Exchange</w:t>
            </w:r>
          </w:p>
        </w:tc>
      </w:tr>
      <w:tr>
        <w:trPr>
          <w:trHeight w:val="162"/>
        </w:trPr>
        <w:tc>
          <w:tcPr>
            <w:tcW w:w="32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Common Stock, $0.01 par value</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WLK</w:t>
            </w:r>
          </w:p>
        </w:tc>
        <w:tc>
          <w:tcPr>
            <w:tcW w:w="4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NYSE Texas</w:t>
            </w:r>
          </w:p>
        </w:tc>
      </w:tr>
      <w:tr>
        <w:trPr>
          <w:trHeight w:val="142"/>
        </w:trPr>
        <w:tc>
          <w:tcPr>
            <w:tcW w:w="32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1.625% Senior Notes due 2029</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WLK29</w:t>
            </w:r>
          </w:p>
        </w:tc>
        <w:tc>
          <w:tcPr>
            <w:tcW w:w="4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The New York Stock Exchange</w:t>
            </w:r>
          </w:p>
        </w:tc>
      </w:tr>
    </w:tbl>
    <w:p>
      <w:pPr>
        <w:spacing w:after="0" w:line="205" w:lineRule="exact"/>
        <w:rPr>
          <w:sz w:val="24"/>
          <w:szCs w:val="24"/>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387350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80"/>
          </w:cols>
          <w:pgMar w:left="300" w:top="738" w:right="419" w:bottom="1440" w:gutter="0" w:footer="0" w:header="0"/>
        </w:sectPr>
      </w:pPr>
    </w:p>
    <w:bookmarkStart w:id="1" w:name="page2"/>
    <w:bookmarkEnd w:id="1"/>
    <w:p>
      <w:pPr>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690880</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274955</wp:posOffset>
            </wp:positionV>
            <wp:extent cx="716661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6610" cy="571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292100</wp:posOffset>
            </wp:positionV>
            <wp:extent cx="71666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ectPr>
          <w:pgSz w:w="11900" w:h="16838" w:orient="portrait"/>
          <w:cols w:equalWidth="0" w:num="1">
            <w:col w:w="11280"/>
          </w:cols>
          <w:pgMar w:left="300" w:top="642"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p>
    <w:p>
      <w:pPr>
        <w:spacing w:after="0" w:line="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On November 4, 2026, Westlake Corporation (the "Company"), issued a press release announcing its 2026 third quarter results. A copy of the press release is furnished with this Current Report as Exhibit 99.1.</w:t>
      </w:r>
    </w:p>
    <w:p>
      <w:pPr>
        <w:spacing w:after="0" w:line="114" w:lineRule="exact"/>
        <w:rPr>
          <w:sz w:val="20"/>
          <w:szCs w:val="20"/>
          <w:color w:val="auto"/>
        </w:rPr>
      </w:pPr>
    </w:p>
    <w:p>
      <w:pPr>
        <w:ind w:firstLine="324"/>
        <w:spacing w:after="0" w:line="279" w:lineRule="auto"/>
        <w:rPr>
          <w:sz w:val="20"/>
          <w:szCs w:val="20"/>
          <w:color w:val="auto"/>
        </w:rPr>
      </w:pPr>
      <w:r>
        <w:rPr>
          <w:rFonts w:ascii="Times New Roman" w:cs="Times New Roman" w:eastAsia="Times New Roman" w:hAnsi="Times New Roman"/>
          <w:sz w:val="12"/>
          <w:szCs w:val="12"/>
          <w:color w:val="auto"/>
        </w:rPr>
        <w:t>The information furnished pursuant to this Current Report, including Exhibit 99.1, shall not be deemed to be "filed" for the purposes of Section 18 of the Securities Exchange Act of 1934, as amended, and will not be incorporated by reference into any registration statement filed by Westlake Corporation under the Securities Act of 1933, as amended, unless specifically identified as being incorporated therein.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73" w:lineRule="exact"/>
        <w:rPr>
          <w:sz w:val="20"/>
          <w:szCs w:val="20"/>
          <w:color w:val="auto"/>
        </w:rPr>
      </w:pPr>
    </w:p>
    <w:p>
      <w:pPr>
        <w:ind w:right="40" w:firstLine="324"/>
        <w:spacing w:after="0" w:line="279" w:lineRule="auto"/>
        <w:rPr>
          <w:sz w:val="20"/>
          <w:szCs w:val="20"/>
          <w:color w:val="auto"/>
        </w:rPr>
      </w:pPr>
      <w:r>
        <w:rPr>
          <w:rFonts w:ascii="Times New Roman" w:cs="Times New Roman" w:eastAsia="Times New Roman" w:hAnsi="Times New Roman"/>
          <w:sz w:val="12"/>
          <w:szCs w:val="12"/>
          <w:color w:val="auto"/>
        </w:rPr>
        <w:t>The Company is holding a conference call on November 4, 2026 to discuss its 2026 third quarter results. Information about the call can be found in the press release furnished with this Current Report as Exhibit 99.1. In addition, the Company made available an investor presentation regarding its 2026 third quarter results, which is furnished with this Current Report as Exhibit 99.2.</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(d) Exhibits</w:t>
      </w:r>
    </w:p>
    <w:p>
      <w:pPr>
        <w:spacing w:after="0" w:line="1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following exhibits are furnished herewith:</w:t>
      </w:r>
    </w:p>
    <w:p>
      <w:pPr>
        <w:spacing w:after="0" w:line="69" w:lineRule="exact"/>
        <w:rPr>
          <w:sz w:val="20"/>
          <w:szCs w:val="20"/>
          <w:color w:val="auto"/>
        </w:rPr>
      </w:pPr>
    </w:p>
    <w:p>
      <w:pPr>
        <w:ind w:left="320"/>
        <w:spacing w:after="0"/>
        <w:tabs>
          <w:tab w:leader="none" w:pos="620" w:val="left"/>
        </w:tabs>
        <w:rPr>
          <w:sz w:val="20"/>
          <w:szCs w:val="20"/>
          <w:color w:val="auto"/>
        </w:rPr>
      </w:pPr>
      <w:r>
        <w:rPr>
          <w:rFonts w:ascii="Times New Roman" w:cs="Times New Roman" w:eastAsia="Times New Roman" w:hAnsi="Times New Roman"/>
          <w:sz w:val="12"/>
          <w:szCs w:val="12"/>
          <w:color w:val="auto"/>
        </w:rPr>
        <w:t>99.1</w:t>
      </w:r>
      <w:r>
        <w:rPr>
          <w:sz w:val="20"/>
          <w:szCs w:val="20"/>
          <w:color w:val="auto"/>
        </w:rPr>
        <w:tab/>
      </w:r>
      <w:r>
        <w:rPr>
          <w:rFonts w:ascii="Times New Roman" w:cs="Times New Roman" w:eastAsia="Times New Roman" w:hAnsi="Times New Roman"/>
          <w:sz w:val="12"/>
          <w:szCs w:val="12"/>
          <w:u w:val="single" w:color="auto"/>
          <w:color w:val="0000FF"/>
        </w:rPr>
        <w:t>Press release issued on November 4, 2026.</w:t>
      </w:r>
    </w:p>
    <w:p>
      <w:pPr>
        <w:spacing w:after="0" w:line="69" w:lineRule="exact"/>
        <w:rPr>
          <w:sz w:val="20"/>
          <w:szCs w:val="20"/>
          <w:color w:val="auto"/>
        </w:rPr>
      </w:pPr>
    </w:p>
    <w:p>
      <w:pPr>
        <w:ind w:left="320"/>
        <w:spacing w:after="0"/>
        <w:tabs>
          <w:tab w:leader="none" w:pos="620" w:val="left"/>
        </w:tabs>
        <w:rPr>
          <w:sz w:val="20"/>
          <w:szCs w:val="20"/>
          <w:color w:val="auto"/>
        </w:rPr>
      </w:pPr>
      <w:r>
        <w:rPr>
          <w:rFonts w:ascii="Times New Roman" w:cs="Times New Roman" w:eastAsia="Times New Roman" w:hAnsi="Times New Roman"/>
          <w:sz w:val="12"/>
          <w:szCs w:val="12"/>
          <w:color w:val="auto"/>
        </w:rPr>
        <w:t>99.2</w:t>
      </w:r>
      <w:r>
        <w:rPr>
          <w:sz w:val="20"/>
          <w:szCs w:val="20"/>
          <w:color w:val="auto"/>
        </w:rPr>
        <w:tab/>
      </w:r>
      <w:r>
        <w:rPr>
          <w:rFonts w:ascii="Times New Roman" w:cs="Times New Roman" w:eastAsia="Times New Roman" w:hAnsi="Times New Roman"/>
          <w:sz w:val="12"/>
          <w:szCs w:val="12"/>
          <w:u w:val="single" w:color="auto"/>
          <w:color w:val="0000FF"/>
        </w:rPr>
        <w:t>Investor Presentation.</w:t>
      </w:r>
    </w:p>
    <w:p>
      <w:pPr>
        <w:spacing w:after="0" w:line="60" w:lineRule="exact"/>
        <w:rPr>
          <w:sz w:val="20"/>
          <w:szCs w:val="20"/>
          <w:color w:val="auto"/>
        </w:rPr>
      </w:pPr>
    </w:p>
    <w:p>
      <w:pPr>
        <w:ind w:left="320"/>
        <w:spacing w:after="0"/>
        <w:tabs>
          <w:tab w:leader="none" w:pos="600" w:val="left"/>
        </w:tabs>
        <w:rPr>
          <w:sz w:val="20"/>
          <w:szCs w:val="20"/>
          <w:color w:val="auto"/>
        </w:rPr>
      </w:pPr>
      <w:r>
        <w:rPr>
          <w:rFonts w:ascii="Times New Roman" w:cs="Times New Roman" w:eastAsia="Times New Roman" w:hAnsi="Times New Roman"/>
          <w:sz w:val="12"/>
          <w:szCs w:val="12"/>
          <w:color w:val="auto"/>
        </w:rPr>
        <w:t>104</w:t>
      </w:r>
      <w:r>
        <w:rPr>
          <w:sz w:val="20"/>
          <w:szCs w:val="20"/>
          <w:color w:val="auto"/>
        </w:rPr>
        <w:tab/>
      </w:r>
      <w:r>
        <w:rPr>
          <w:rFonts w:ascii="Times New Roman" w:cs="Times New Roman" w:eastAsia="Times New Roman" w:hAnsi="Times New Roman"/>
          <w:sz w:val="11"/>
          <w:szCs w:val="11"/>
          <w:color w:val="auto"/>
        </w:rPr>
        <w:t>The cover page from this Current Report on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369570</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63" w:right="299" w:bottom="1440" w:gutter="0" w:footer="0" w:header="0"/>
        </w:sectPr>
      </w:pPr>
    </w:p>
    <w:bookmarkStart w:id="3" w:name="page4"/>
    <w:bookmarkEnd w:id="3"/>
    <w:p>
      <w:pPr>
        <w:ind w:left="530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54"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2"/>
          <w:szCs w:val="12"/>
          <w:b w:val="1"/>
          <w:bCs w:val="1"/>
          <w:color w:val="auto"/>
        </w:rPr>
        <w:t>WESTLAKE CORPORATION</w:t>
      </w:r>
    </w:p>
    <w:p>
      <w:pPr>
        <w:spacing w:after="0" w:line="21" w:lineRule="exact"/>
        <w:rPr>
          <w:sz w:val="20"/>
          <w:szCs w:val="20"/>
          <w:color w:val="auto"/>
        </w:rPr>
      </w:pPr>
    </w:p>
    <w:p>
      <w:pPr>
        <w:spacing w:after="0"/>
        <w:tabs>
          <w:tab w:leader="none" w:pos="840" w:val="left"/>
          <w:tab w:leader="none" w:pos="6620" w:val="left"/>
          <w:tab w:leader="none" w:pos="8400" w:val="left"/>
          <w:tab w:leader="none" w:pos="8620" w:val="left"/>
        </w:tabs>
        <w:rPr>
          <w:sz w:val="20"/>
          <w:szCs w:val="20"/>
          <w:color w:val="auto"/>
        </w:rPr>
      </w:pPr>
      <w:r>
        <w:rPr>
          <w:rFonts w:ascii="Times New Roman" w:cs="Times New Roman" w:eastAsia="Times New Roman" w:hAnsi="Times New Roman"/>
          <w:sz w:val="12"/>
          <w:szCs w:val="12"/>
          <w:color w:val="auto"/>
        </w:rPr>
        <w:t>Date:</w:t>
      </w:r>
      <w:r>
        <w:rPr>
          <w:sz w:val="20"/>
          <w:szCs w:val="20"/>
          <w:color w:val="auto"/>
        </w:rPr>
        <w:tab/>
      </w:r>
      <w:r>
        <w:rPr>
          <w:rFonts w:ascii="Times New Roman" w:cs="Times New Roman" w:eastAsia="Times New Roman" w:hAnsi="Times New Roman"/>
          <w:sz w:val="12"/>
          <w:szCs w:val="12"/>
          <w:color w:val="auto"/>
        </w:rPr>
        <w:t>November 4, 2026</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0"/>
          <w:szCs w:val="10"/>
          <w:color w:val="auto"/>
        </w:rPr>
        <w:t>/S/</w:t>
      </w:r>
      <w:r>
        <w:rPr>
          <w:sz w:val="20"/>
          <w:szCs w:val="20"/>
          <w:color w:val="auto"/>
        </w:rPr>
        <w:tab/>
      </w:r>
      <w:r>
        <w:rPr>
          <w:rFonts w:ascii="Times New Roman" w:cs="Times New Roman" w:eastAsia="Times New Roman" w:hAnsi="Times New Roman"/>
          <w:sz w:val="12"/>
          <w:szCs w:val="12"/>
          <w:color w:val="auto"/>
        </w:rPr>
        <w:t>J</w:t>
      </w:r>
      <w:r>
        <w:rPr>
          <w:rFonts w:ascii="Times New Roman" w:cs="Times New Roman" w:eastAsia="Times New Roman" w:hAnsi="Times New Roman"/>
          <w:sz w:val="9"/>
          <w:szCs w:val="9"/>
          <w:color w:val="auto"/>
        </w:rPr>
        <w:t>EAN</w:t>
      </w:r>
      <w:r>
        <w:rPr>
          <w:rFonts w:ascii="Times New Roman" w:cs="Times New Roman" w:eastAsia="Times New Roman" w:hAnsi="Times New Roman"/>
          <w:sz w:val="12"/>
          <w:szCs w:val="12"/>
          <w:color w:val="auto"/>
        </w:rPr>
        <w:t>-M</w:t>
      </w:r>
      <w:r>
        <w:rPr>
          <w:rFonts w:ascii="Times New Roman" w:cs="Times New Roman" w:eastAsia="Times New Roman" w:hAnsi="Times New Roman"/>
          <w:sz w:val="9"/>
          <w:szCs w:val="9"/>
          <w:color w:val="auto"/>
        </w:rPr>
        <w:t>ARC</w:t>
      </w:r>
      <w:r>
        <w:rPr>
          <w:rFonts w:ascii="Times New Roman" w:cs="Times New Roman" w:eastAsia="Times New Roman" w:hAnsi="Times New Roman"/>
          <w:sz w:val="12"/>
          <w:szCs w:val="12"/>
          <w:color w:val="auto"/>
        </w:rPr>
        <w:t xml:space="preserve"> G</w:t>
      </w:r>
      <w:r>
        <w:rPr>
          <w:rFonts w:ascii="Times New Roman" w:cs="Times New Roman" w:eastAsia="Times New Roman" w:hAnsi="Times New Roman"/>
          <w:sz w:val="9"/>
          <w:szCs w:val="9"/>
          <w:color w:val="auto"/>
        </w:rPr>
        <w:t>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15240</wp:posOffset>
            </wp:positionV>
            <wp:extent cx="282892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28925" cy="5715"/>
                    </a:xfrm>
                    <a:prstGeom prst="rect">
                      <a:avLst/>
                    </a:prstGeom>
                    <a:noFill/>
                  </pic:spPr>
                </pic:pic>
              </a:graphicData>
            </a:graphic>
          </wp:anchor>
        </w:drawing>
      </w:r>
    </w:p>
    <w:p>
      <w:pPr>
        <w:spacing w:after="0" w:line="6"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0"/>
          <w:szCs w:val="10"/>
          <w:b w:val="1"/>
          <w:bCs w:val="1"/>
          <w:color w:val="auto"/>
        </w:rPr>
        <w:t>Jean-Marc Gilson</w:t>
      </w:r>
    </w:p>
    <w:p>
      <w:pPr>
        <w:spacing w:after="0" w:line="7"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0"/>
          <w:szCs w:val="10"/>
          <w:b w:val="1"/>
          <w:bCs w:val="1"/>
          <w:color w:val="auto"/>
        </w:rPr>
        <w:t>President, Chief Executive Officer and Director</w:t>
      </w:r>
    </w:p>
    <w:p>
      <w:pPr>
        <w:ind w:left="8460"/>
        <w:spacing w:after="0" w:line="236" w:lineRule="auto"/>
        <w:rPr>
          <w:sz w:val="20"/>
          <w:szCs w:val="20"/>
          <w:color w:val="auto"/>
        </w:rPr>
      </w:pPr>
      <w:r>
        <w:rPr>
          <w:rFonts w:ascii="Times New Roman" w:cs="Times New Roman" w:eastAsia="Times New Roman" w:hAnsi="Times New Roman"/>
          <w:sz w:val="10"/>
          <w:szCs w:val="10"/>
          <w:b w:val="1"/>
          <w:bCs w:val="1"/>
          <w:color w:val="auto"/>
        </w:rPr>
        <w:t>(Principal Executive Officer)</w:t>
      </w:r>
    </w:p>
    <w:p>
      <w:pPr>
        <w:sectPr>
          <w:pgSz w:w="11900" w:h="16838" w:orient="portrait"/>
          <w:cols w:equalWidth="0" w:num="1">
            <w:col w:w="10159"/>
          </w:cols>
          <w:pgMar w:left="300" w:top="908"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6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WESTLAKE CORPORATION</w:t>
      </w:r>
    </w:p>
    <w:p>
      <w:pPr>
        <w:spacing w:after="0" w:line="3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Contact—(713) 960-9111</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Investors—Jeff Holy</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Media—L. Benjamin Ederington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140970</wp:posOffset>
            </wp:positionV>
            <wp:extent cx="710374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3745" cy="571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Westlake Corporation Reports Third Quarter 2026 Results</w:t>
      </w:r>
    </w:p>
    <w:p>
      <w:pPr>
        <w:spacing w:after="0" w:line="22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HOUSTON, Nov. 04, 2026 (GLOBE NEWSWIRE) --Westlake Corporation (NYSE: WLK) (the "Company" or "Westlake") today announced third quarter 2026 results.</w:t>
      </w:r>
    </w:p>
    <w:p>
      <w:pPr>
        <w:spacing w:after="0" w:line="20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SUMMARY FINANCIAL HIGHLIGHTS (in millions of dollars, except per share data and percentages)</w:t>
      </w:r>
    </w:p>
    <w:p>
      <w:pPr>
        <w:spacing w:after="0" w:line="41"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6760" w:type="dxa"/>
            <w:vAlign w:val="bottom"/>
          </w:tcPr>
          <w:p>
            <w:pPr>
              <w:spacing w:after="0"/>
              <w:rPr>
                <w:sz w:val="10"/>
                <w:szCs w:val="10"/>
                <w:color w:val="auto"/>
              </w:rPr>
            </w:pP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Three Months Ended September</w:t>
            </w:r>
          </w:p>
        </w:tc>
        <w:tc>
          <w:tcPr>
            <w:tcW w:w="80" w:type="dxa"/>
            <w:vAlign w:val="bottom"/>
          </w:tcPr>
          <w:p>
            <w:pPr>
              <w:spacing w:after="0"/>
              <w:rPr>
                <w:sz w:val="10"/>
                <w:szCs w:val="10"/>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Three Months Ended June 30,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w w:val="97"/>
              </w:rPr>
              <w:t>Three Months Ended September</w:t>
            </w:r>
          </w:p>
        </w:tc>
      </w:tr>
      <w:tr>
        <w:trPr>
          <w:trHeight w:val="125"/>
        </w:trPr>
        <w:tc>
          <w:tcPr>
            <w:tcW w:w="676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0"/>
                <w:szCs w:val="10"/>
                <w:b w:val="1"/>
                <w:bCs w:val="1"/>
                <w:color w:val="auto"/>
              </w:rPr>
              <w:t>30, 2026</w:t>
            </w: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0"/>
                <w:szCs w:val="10"/>
                <w:b w:val="1"/>
                <w:bCs w:val="1"/>
                <w:color w:val="auto"/>
              </w:rPr>
              <w:t>2026</w:t>
            </w:r>
          </w:p>
        </w:tc>
        <w:tc>
          <w:tcPr>
            <w:tcW w:w="10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0"/>
                <w:szCs w:val="10"/>
                <w:b w:val="1"/>
                <w:bCs w:val="1"/>
                <w:color w:val="auto"/>
              </w:rPr>
              <w:t>30, 2025</w:t>
            </w:r>
          </w:p>
        </w:tc>
      </w:tr>
      <w:tr>
        <w:trPr>
          <w:trHeight w:val="143"/>
        </w:trPr>
        <w:tc>
          <w:tcPr>
            <w:tcW w:w="67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Westlake Corporation</w:t>
            </w: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53"/>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Net sales</w:t>
            </w: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2,981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3,271</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2,838</w:t>
            </w:r>
          </w:p>
        </w:tc>
      </w:tr>
      <w:tr>
        <w:trPr>
          <w:trHeight w:val="153"/>
        </w:trPr>
        <w:tc>
          <w:tcPr>
            <w:tcW w:w="67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Income (loss) from operations</w:t>
            </w: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43</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364</w:t>
            </w:r>
          </w:p>
        </w:tc>
        <w:tc>
          <w:tcPr>
            <w:tcW w:w="100" w:type="dxa"/>
            <w:vAlign w:val="bottom"/>
          </w:tcPr>
          <w:p>
            <w:pPr>
              <w:spacing w:after="0"/>
              <w:rPr>
                <w:sz w:val="13"/>
                <w:szCs w:val="13"/>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(766)</w:t>
            </w:r>
          </w:p>
        </w:tc>
      </w:tr>
      <w:tr>
        <w:trPr>
          <w:trHeight w:val="153"/>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Net income (loss) attributable to Westlake Corporation</w:t>
            </w: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260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(782)</w:t>
            </w:r>
          </w:p>
        </w:tc>
      </w:tr>
      <w:tr>
        <w:trPr>
          <w:trHeight w:val="153"/>
        </w:trPr>
        <w:tc>
          <w:tcPr>
            <w:tcW w:w="67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Diluted earnings (loss) per common share</w:t>
            </w: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0.05</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2.01</w:t>
            </w:r>
          </w:p>
        </w:tc>
        <w:tc>
          <w:tcPr>
            <w:tcW w:w="100" w:type="dxa"/>
            <w:vAlign w:val="bottom"/>
          </w:tcPr>
          <w:p>
            <w:pPr>
              <w:spacing w:after="0"/>
              <w:rPr>
                <w:sz w:val="13"/>
                <w:szCs w:val="13"/>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(6.06)</w:t>
            </w:r>
          </w:p>
        </w:tc>
      </w:tr>
      <w:tr>
        <w:trPr>
          <w:trHeight w:val="153"/>
        </w:trPr>
        <w:tc>
          <w:tcPr>
            <w:tcW w:w="6760" w:type="dxa"/>
            <w:vAlign w:val="bottom"/>
            <w:shd w:val="clear" w:color="auto" w:fill="CCEEFF"/>
          </w:tcPr>
          <w:p>
            <w:pPr>
              <w:ind w:left="220"/>
              <w:spacing w:after="0" w:line="153" w:lineRule="exact"/>
              <w:rPr>
                <w:sz w:val="20"/>
                <w:szCs w:val="20"/>
                <w:color w:val="auto"/>
              </w:rPr>
            </w:pPr>
            <w:r>
              <w:rPr>
                <w:rFonts w:ascii="Times New Roman" w:cs="Times New Roman" w:eastAsia="Times New Roman" w:hAnsi="Times New Roman"/>
                <w:sz w:val="12"/>
                <w:szCs w:val="12"/>
                <w:color w:val="auto"/>
              </w:rPr>
              <w:t xml:space="preserve">Identified Items </w:t>
            </w:r>
            <w:r>
              <w:rPr>
                <w:rFonts w:ascii="Times New Roman" w:cs="Times New Roman" w:eastAsia="Times New Roman" w:hAnsi="Times New Roman"/>
                <w:sz w:val="15"/>
                <w:szCs w:val="15"/>
                <w:color w:val="auto"/>
                <w:vertAlign w:val="superscript"/>
              </w:rPr>
              <w:t>(1)</w:t>
            </w: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58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744</w:t>
            </w:r>
          </w:p>
        </w:tc>
      </w:tr>
      <w:tr>
        <w:trPr>
          <w:trHeight w:val="153"/>
        </w:trPr>
        <w:tc>
          <w:tcPr>
            <w:tcW w:w="67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Net income (loss) attributable to Westlake Corporation excl. Identified Items</w:t>
            </w: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58</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260</w:t>
            </w:r>
          </w:p>
        </w:tc>
        <w:tc>
          <w:tcPr>
            <w:tcW w:w="100" w:type="dxa"/>
            <w:vAlign w:val="bottom"/>
          </w:tcPr>
          <w:p>
            <w:pPr>
              <w:spacing w:after="0"/>
              <w:rPr>
                <w:sz w:val="13"/>
                <w:szCs w:val="13"/>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(38)</w:t>
            </w:r>
          </w:p>
        </w:tc>
      </w:tr>
      <w:tr>
        <w:trPr>
          <w:trHeight w:val="153"/>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Diluted earnings (loss) per common share excl. Identified Items</w:t>
            </w: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0.45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2.01</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(0.29)</w:t>
            </w:r>
          </w:p>
        </w:tc>
      </w:tr>
      <w:tr>
        <w:trPr>
          <w:trHeight w:val="153"/>
        </w:trPr>
        <w:tc>
          <w:tcPr>
            <w:tcW w:w="67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EBITDA</w:t>
            </w: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350</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679</w:t>
            </w:r>
          </w:p>
        </w:tc>
        <w:tc>
          <w:tcPr>
            <w:tcW w:w="100" w:type="dxa"/>
            <w:vAlign w:val="bottom"/>
          </w:tcPr>
          <w:p>
            <w:pPr>
              <w:spacing w:after="0"/>
              <w:rPr>
                <w:sz w:val="13"/>
                <w:szCs w:val="13"/>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(431)</w:t>
            </w:r>
          </w:p>
        </w:tc>
      </w:tr>
      <w:tr>
        <w:trPr>
          <w:trHeight w:val="153"/>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EBITDA excl. Identified Items</w:t>
            </w: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408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679</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313</w:t>
            </w:r>
          </w:p>
        </w:tc>
      </w:tr>
      <w:tr>
        <w:trPr>
          <w:trHeight w:val="155"/>
        </w:trPr>
        <w:tc>
          <w:tcPr>
            <w:tcW w:w="67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EBITDA margin excl. Identified Items</w:t>
            </w:r>
          </w:p>
        </w:tc>
        <w:tc>
          <w:tcPr>
            <w:tcW w:w="300" w:type="dxa"/>
            <w:vAlign w:val="bottom"/>
          </w:tcPr>
          <w:p>
            <w:pPr>
              <w:spacing w:after="0"/>
              <w:rPr>
                <w:sz w:val="13"/>
                <w:szCs w:val="13"/>
                <w:color w:val="auto"/>
              </w:rPr>
            </w:pP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14%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21%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11%</w:t>
            </w:r>
          </w:p>
        </w:tc>
      </w:tr>
      <w:tr>
        <w:trPr>
          <w:trHeight w:val="34"/>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53"/>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Housing and Infrastructure Products ("HIP") Segment</w:t>
            </w: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53"/>
        </w:trPr>
        <w:tc>
          <w:tcPr>
            <w:tcW w:w="67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Net sales</w:t>
            </w: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1,087</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1,252</w:t>
            </w:r>
          </w:p>
        </w:tc>
        <w:tc>
          <w:tcPr>
            <w:tcW w:w="100" w:type="dxa"/>
            <w:vAlign w:val="bottom"/>
          </w:tcPr>
          <w:p>
            <w:pPr>
              <w:spacing w:after="0"/>
              <w:rPr>
                <w:sz w:val="13"/>
                <w:szCs w:val="13"/>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1,091</w:t>
            </w:r>
          </w:p>
        </w:tc>
      </w:tr>
      <w:tr>
        <w:trPr>
          <w:trHeight w:val="153"/>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Income from operations</w:t>
            </w: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128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212</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151</w:t>
            </w:r>
          </w:p>
        </w:tc>
      </w:tr>
      <w:tr>
        <w:trPr>
          <w:trHeight w:val="153"/>
        </w:trPr>
        <w:tc>
          <w:tcPr>
            <w:tcW w:w="67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EBITDA</w:t>
            </w: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195</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276</w:t>
            </w:r>
          </w:p>
        </w:tc>
        <w:tc>
          <w:tcPr>
            <w:tcW w:w="100" w:type="dxa"/>
            <w:vAlign w:val="bottom"/>
          </w:tcPr>
          <w:p>
            <w:pPr>
              <w:spacing w:after="0"/>
              <w:rPr>
                <w:sz w:val="13"/>
                <w:szCs w:val="13"/>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215</w:t>
            </w:r>
          </w:p>
        </w:tc>
      </w:tr>
      <w:tr>
        <w:trPr>
          <w:trHeight w:val="153"/>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EBITDA excl. Identified Items</w:t>
            </w: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195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276</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215</w:t>
            </w:r>
          </w:p>
        </w:tc>
      </w:tr>
      <w:tr>
        <w:trPr>
          <w:trHeight w:val="155"/>
        </w:trPr>
        <w:tc>
          <w:tcPr>
            <w:tcW w:w="67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EBITDA margin excl. Identified Items</w:t>
            </w:r>
          </w:p>
        </w:tc>
        <w:tc>
          <w:tcPr>
            <w:tcW w:w="300" w:type="dxa"/>
            <w:vAlign w:val="bottom"/>
          </w:tcPr>
          <w:p>
            <w:pPr>
              <w:spacing w:after="0"/>
              <w:rPr>
                <w:sz w:val="13"/>
                <w:szCs w:val="13"/>
                <w:color w:val="auto"/>
              </w:rPr>
            </w:pP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18%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22%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20%</w:t>
            </w:r>
          </w:p>
        </w:tc>
      </w:tr>
      <w:tr>
        <w:trPr>
          <w:trHeight w:val="34"/>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53"/>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Performance and Essential Materials ("PEM") Segment</w:t>
            </w: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53"/>
        </w:trPr>
        <w:tc>
          <w:tcPr>
            <w:tcW w:w="67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Net sales</w:t>
            </w: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1,894</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2,019</w:t>
            </w:r>
          </w:p>
        </w:tc>
        <w:tc>
          <w:tcPr>
            <w:tcW w:w="100" w:type="dxa"/>
            <w:vAlign w:val="bottom"/>
          </w:tcPr>
          <w:p>
            <w:pPr>
              <w:spacing w:after="0"/>
              <w:rPr>
                <w:sz w:val="13"/>
                <w:szCs w:val="13"/>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1,747</w:t>
            </w:r>
          </w:p>
        </w:tc>
      </w:tr>
      <w:tr>
        <w:trPr>
          <w:trHeight w:val="153"/>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Income (loss) from operations</w:t>
            </w: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(64)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185</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(902)</w:t>
            </w:r>
          </w:p>
        </w:tc>
      </w:tr>
      <w:tr>
        <w:trPr>
          <w:trHeight w:val="153"/>
        </w:trPr>
        <w:tc>
          <w:tcPr>
            <w:tcW w:w="67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EBITDA</w:t>
            </w: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159</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416</w:t>
            </w:r>
          </w:p>
        </w:tc>
        <w:tc>
          <w:tcPr>
            <w:tcW w:w="100" w:type="dxa"/>
            <w:vAlign w:val="bottom"/>
          </w:tcPr>
          <w:p>
            <w:pPr>
              <w:spacing w:after="0"/>
              <w:rPr>
                <w:sz w:val="13"/>
                <w:szCs w:val="13"/>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(654)</w:t>
            </w:r>
          </w:p>
        </w:tc>
      </w:tr>
      <w:tr>
        <w:trPr>
          <w:trHeight w:val="153"/>
        </w:trPr>
        <w:tc>
          <w:tcPr>
            <w:tcW w:w="6760" w:type="dxa"/>
            <w:vAlign w:val="bottom"/>
            <w:shd w:val="clear" w:color="auto" w:fill="CCEEFF"/>
          </w:tcPr>
          <w:p>
            <w:pPr>
              <w:ind w:left="220"/>
              <w:spacing w:after="0" w:line="153" w:lineRule="exact"/>
              <w:rPr>
                <w:sz w:val="20"/>
                <w:szCs w:val="20"/>
                <w:color w:val="auto"/>
              </w:rPr>
            </w:pPr>
            <w:r>
              <w:rPr>
                <w:rFonts w:ascii="Times New Roman" w:cs="Times New Roman" w:eastAsia="Times New Roman" w:hAnsi="Times New Roman"/>
                <w:sz w:val="12"/>
                <w:szCs w:val="12"/>
                <w:color w:val="auto"/>
              </w:rPr>
              <w:t xml:space="preserve">Identified Items </w:t>
            </w:r>
            <w:r>
              <w:rPr>
                <w:rFonts w:ascii="Times New Roman" w:cs="Times New Roman" w:eastAsia="Times New Roman" w:hAnsi="Times New Roman"/>
                <w:sz w:val="15"/>
                <w:szCs w:val="15"/>
                <w:color w:val="auto"/>
                <w:vertAlign w:val="superscript"/>
              </w:rPr>
              <w:t>(1)</w:t>
            </w: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56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744</w:t>
            </w:r>
          </w:p>
        </w:tc>
      </w:tr>
      <w:tr>
        <w:trPr>
          <w:trHeight w:val="153"/>
        </w:trPr>
        <w:tc>
          <w:tcPr>
            <w:tcW w:w="67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EBITDA excl. Identified Items</w:t>
            </w: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215</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416</w:t>
            </w:r>
          </w:p>
        </w:tc>
        <w:tc>
          <w:tcPr>
            <w:tcW w:w="100" w:type="dxa"/>
            <w:vAlign w:val="bottom"/>
          </w:tcPr>
          <w:p>
            <w:pPr>
              <w:spacing w:after="0"/>
              <w:rPr>
                <w:sz w:val="13"/>
                <w:szCs w:val="13"/>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90</w:t>
            </w:r>
          </w:p>
        </w:tc>
      </w:tr>
      <w:tr>
        <w:trPr>
          <w:trHeight w:val="153"/>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EBITDA margin excl. Identified Items</w:t>
            </w: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21%</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5%</w:t>
            </w:r>
          </w:p>
        </w:tc>
      </w:tr>
    </w:tbl>
    <w:p>
      <w:pPr>
        <w:spacing w:after="0" w:line="333" w:lineRule="exact"/>
        <w:rPr>
          <w:sz w:val="20"/>
          <w:szCs w:val="20"/>
          <w:color w:val="auto"/>
        </w:rPr>
      </w:pPr>
    </w:p>
    <w:p>
      <w:pPr>
        <w:jc w:val="both"/>
        <w:ind w:left="268" w:right="280" w:hanging="268"/>
        <w:spacing w:after="0" w:line="315" w:lineRule="auto"/>
        <w:tabs>
          <w:tab w:leader="none" w:pos="268" w:val="left"/>
        </w:tabs>
        <w:numPr>
          <w:ilvl w:val="0"/>
          <w:numId w:val="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For the three months ended September 30, 2026, Identified Items include $56 million of charges related to previously announced facility shutdowns in PEM and $2 million of other restructuring costs. For the three months ended September 30, 2025, Identified Items represent a non-cash impairment charge of $727 million representing all of the goodwill associated with the North American Chlorovinyls reporting unit and $17 million of charges related to previously announced facility shutdowns.</w:t>
      </w:r>
    </w:p>
    <w:p>
      <w:pPr>
        <w:spacing w:after="0" w:line="32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i</w:t>
      </w:r>
    </w:p>
    <w:p>
      <w:pPr>
        <w:sectPr>
          <w:pgSz w:w="11900" w:h="16838" w:orient="portrait"/>
          <w:cols w:equalWidth="0" w:num="1">
            <w:col w:w="11308"/>
          </w:cols>
          <w:pgMar w:left="292" w:top="638"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b w:val="1"/>
          <w:bCs w:val="1"/>
          <w:u w:val="single" w:color="auto"/>
          <w:color w:val="auto"/>
        </w:rPr>
        <w:t>BUSINESS HIGHLIGHTS</w:t>
      </w:r>
    </w:p>
    <w:p>
      <w:pPr>
        <w:spacing w:after="0" w:line="145"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2"/>
          <w:szCs w:val="12"/>
          <w:color w:val="auto"/>
        </w:rPr>
        <w:t>Westlake reported third quarter of 2026 net sales of $3.0 billion, net income of $6 million, or $0.05 per share, and EBITDA (earnings before interest expense, income taxes, depreciation and amortization) of $350 million. Excluding Identified Items, net income in the third quarter of 2026 was $58 million, or $0.45 per share, and EBITDA was $408 million.</w:t>
      </w:r>
    </w:p>
    <w:p>
      <w:pPr>
        <w:spacing w:after="0" w:line="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2"/>
          <w:szCs w:val="12"/>
          <w:color w:val="auto"/>
        </w:rPr>
        <w:t>Compared to the third quarter of 2025, the Company's average sales price increased 6% while comparable sales volume was unchanged (excluding the effects of acquisitions and plant closures). Reported HIP sales were relatively unchanged as a 6% decline in comparable sales volume was offset by a 1% increase in average sales price and 5% contribution from the ACI acquisition. Reported PEM sales increased 8% over the same period of time due to a 9% increase in average sales price and a 4% increase in comparable sales volume that were partially offset by a 5% net reduction to sales from plant closures partially offset by the Wilhelmshaven acquisition. EBITDA margin excluding Identified Items increased from 11% to 14%, primarily due to the increase in PEM's average sales price and benefits from our three-pillar profitability improvement plan that more than offset higher costs.</w:t>
      </w:r>
    </w:p>
    <w:p>
      <w:pPr>
        <w:spacing w:after="0" w:line="145"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2"/>
          <w:szCs w:val="12"/>
          <w:color w:val="auto"/>
        </w:rPr>
        <w:t>Compared to the second quarter of 2026, the Company's average sales price declined 4% while comparable sales volume declined 7% (excluding the effect of the Wilhelmshaven acquisition). The Company's sales and earnings were impacted by an 8% sequential decline in PEM's average sales price in the third quarter of 2026 as second quarter price increases at the onset of the Middle East conflict moderated, but were still above levels from the third quarter of 2025 and have recently inflected higher off the lows of the quarter. HIP's 17% sequential sales volume decline reflected volume shifts between quarters and the industry-wide trend of slowing residential construction activity while margins were impacted by higher distribution costs.</w:t>
      </w:r>
    </w:p>
    <w:p>
      <w:pPr>
        <w:spacing w:after="0" w:line="14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Financial conditions for the European chemical industry meaningfully deteriorated during the third quarter of 2026 due to significantly higher energy costs, weak demand, and increasing imports. Taking into consideration the structural challenges in Europe, the Company is taking action to optimize its European chlorovinyls footprint by integrating its globally-advantaged North American chlorovinyls assets with the recently-acquired vinyls facility in Wilhelmshaven, Germany, and removing higher-cost capacity from its system with the announced closure of its PVC plant in Cologne, Germany.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EXECUTIVE COMMENTARY</w:t>
      </w:r>
    </w:p>
    <w:p>
      <w:pPr>
        <w:spacing w:after="0" w:line="145" w:lineRule="exact"/>
        <w:rPr>
          <w:sz w:val="20"/>
          <w:szCs w:val="20"/>
          <w:color w:val="auto"/>
        </w:rPr>
      </w:pPr>
    </w:p>
    <w:p>
      <w:pPr>
        <w:ind w:right="20"/>
        <w:spacing w:after="0" w:line="150" w:lineRule="exact"/>
        <w:rPr>
          <w:sz w:val="20"/>
          <w:szCs w:val="20"/>
          <w:color w:val="auto"/>
        </w:rPr>
      </w:pPr>
      <w:r>
        <w:rPr>
          <w:rFonts w:ascii="Times New Roman" w:cs="Times New Roman" w:eastAsia="Times New Roman" w:hAnsi="Times New Roman"/>
          <w:sz w:val="12"/>
          <w:szCs w:val="12"/>
          <w:color w:val="auto"/>
        </w:rPr>
        <w:t>"Our third quarter of 2026 financial results reflected lower levels of North American residential construction activity and customer inventory destocking in our HIP segment combined with lower selling prices and margins in our PEM segment as initial price increases realized in the second quarter of 2026 following the onset of the Middle East conflict moderated. Earnings in PEM's European businesses were significantly impacted by higher energy costs, weak demand, and increased import pressure from Asia. In response to these structural challenges in Europe, we took action to optimize our footprint in the third quarter by announcing the closure of a PVC plant in Cologne, Germany. HIP's third quarter margins were also impacted by higher diesel and freight costs. Despite these headwinds, Westlake generated $220 million of free cash flow during the quarter, in part due to the benefits from our three-pillar profitability improvement plan, which remains on track to deliver $600 million of EBITDA uplift in 2026," said Jean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Marc Gilson, President and Chief Executive Officer.</w:t>
      </w:r>
    </w:p>
    <w:p>
      <w:pPr>
        <w:spacing w:after="0" w:line="135"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"Higher borrowing costs have increased potential homebuyers' affordability concerns, which we expect to weigh on HIP's near-term sales volumes. Nevertheless, we remain positive on the medium- to long-term outlook for HIP sales and earnings growth supported by our investments in growth segments of the market and infrastructure spending. While PEM selling prices have stabilized with upward momentum entering the fourth quarter of 2026, we recognize that an environment of heightened price volatility persists, which requires us to stay vigilant in identifying and executing cost reduction and footprint optimization actions," Mr. Gilson concluded.</w:t>
      </w:r>
    </w:p>
    <w:p>
      <w:pPr>
        <w:spacing w:after="0" w:line="137"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2"/>
          <w:szCs w:val="12"/>
          <w:color w:val="auto"/>
        </w:rPr>
        <w:t>"Our investment-grade rated balance sheet, with $2.0 billion of cash and investments at the end of the third quarter continues to be a differentiated source of strength for Westlake that supports our ability to continue to invest in attractive markets, such as our recent roofing acquisition and the acquisitions of both ACI and Wilhelmshaven earlier in 2026, while continuing to return cash to shareholders through a solid dividend that has grown for 22 consecutive years since our IPO in 2004," added Jon Baksht, Senior Vice President and Chief Financial Officer.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RESULTS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Consolidated Results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(Unless otherwise noted the financial numbers below exclude the effects of the Identified Items)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ii</w:t>
      </w:r>
    </w:p>
    <w:p>
      <w:pPr>
        <w:sectPr>
          <w:pgSz w:w="11900" w:h="16838" w:orient="portrait"/>
          <w:cols w:equalWidth="0" w:num="1">
            <w:col w:w="11260"/>
          </w:cols>
          <w:pgMar w:left="300" w:top="890" w:right="339" w:bottom="1440" w:gutter="0" w:footer="0" w:header="0"/>
        </w:sectPr>
      </w:pPr>
    </w:p>
    <w:bookmarkStart w:id="6" w:name="page7"/>
    <w:bookmarkEnd w:id="6"/>
    <w:p>
      <w:pPr>
        <w:spacing w:after="0" w:line="265" w:lineRule="auto"/>
        <w:rPr>
          <w:sz w:val="20"/>
          <w:szCs w:val="20"/>
          <w:color w:val="auto"/>
        </w:rPr>
      </w:pPr>
      <w:r>
        <w:rPr>
          <w:rFonts w:ascii="Times New Roman" w:cs="Times New Roman" w:eastAsia="Times New Roman" w:hAnsi="Times New Roman"/>
          <w:sz w:val="12"/>
          <w:szCs w:val="12"/>
          <w:color w:val="auto"/>
        </w:rPr>
        <w:t>For the three months ended September 30, 2026, the Company reported quarterly net income of $58 million, or $0.45 per share, on net sales of $3.0 billion compared to the net loss of $38 million reported in the third quarter of 2025. Compared to the prior year period, earnings benefited from a higher average sales price and margin in PEM, our three-pillar profitability improvement plan, and the ACI acquisition, which were partially offset by higher distribution and ethane costs.</w:t>
      </w:r>
    </w:p>
    <w:p>
      <w:pPr>
        <w:spacing w:after="0" w:line="137"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EBITDA of $408 million for the third quarter of 2026 increased by 30% from the third quarter of 2025 EBITDA of $313 million. Third quarter 2026 EBITDA decreased by $271 million compared to second quarter of 2026 EBITDA of $679 million.</w:t>
      </w:r>
    </w:p>
    <w:p>
      <w:pPr>
        <w:spacing w:after="0" w:line="129"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Reconciliations of non-GAAP financial measures used in this press release (including EBITDA and measures that exclude the effects of the Identified Items) to the most directly comparable GAAP measure can be found in the financial schedules at the end of this press release.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Expenses Regarding Facility Closures and the Chlorovinyls Impairment ("Identified Items")</w:t>
      </w:r>
    </w:p>
    <w:p>
      <w:pPr>
        <w:spacing w:after="0" w:line="145" w:lineRule="exact"/>
        <w:rPr>
          <w:sz w:val="20"/>
          <w:szCs w:val="20"/>
          <w:color w:val="auto"/>
        </w:rPr>
      </w:pPr>
    </w:p>
    <w:p>
      <w:pPr>
        <w:jc w:val="both"/>
        <w:ind w:right="260"/>
        <w:spacing w:after="0" w:line="265" w:lineRule="auto"/>
        <w:rPr>
          <w:sz w:val="20"/>
          <w:szCs w:val="20"/>
          <w:color w:val="auto"/>
        </w:rPr>
      </w:pPr>
      <w:r>
        <w:rPr>
          <w:rFonts w:ascii="Times New Roman" w:cs="Times New Roman" w:eastAsia="Times New Roman" w:hAnsi="Times New Roman"/>
          <w:sz w:val="12"/>
          <w:szCs w:val="12"/>
          <w:color w:val="auto"/>
        </w:rPr>
        <w:t>During the third quarter of 2026, the Company recorded $56 million of charges in PEM related to previously announced facility shutdowns, including the Cologne PVC facility, certain North American chlorovinyls facilities and a styrene facility in addition to $2 million of other restructuring costs. During the third quarter of 2025, the Company recorded a non-cash impairment charge of $727 million representing all of the goodwill associated with the North American Chlorovinyls reporting unit, and accrued $17 million of expenses related to previously announced asset shutdowns.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Cash, Investments and Debt</w:t>
      </w:r>
    </w:p>
    <w:p>
      <w:pPr>
        <w:spacing w:after="0" w:line="145"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Net cash provided by operating activities was $408 million for the third quarter of 2026 and capital expenditures were $188 million. As of September 30, 2026, cash, cash equivalents and fixed-income investments were $2.0 billion and total debt was $5.1 billion.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Housing and Infrastructure Products Segment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(Unless otherwise noted the financial numbers below exclude the effects of the Identified Items)</w:t>
      </w:r>
    </w:p>
    <w:p>
      <w:pPr>
        <w:spacing w:after="0" w:line="114"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color w:val="auto"/>
        </w:rPr>
        <w:t>For the third quarter of 2026, Housing and Infrastructure Products income from operations of $128 million decreased by $23 million as compared to the third quarter of 2025. The year-over-year decrease was the result of lower sales volume, particularly for pipe &amp; fittings, and higher distribution costs. Housing Products net sales of $846 million in the third quarter of 2026 decreased by $82 million from the third quarter of 2025 primarily due to lower sales volume, particularly for roofing and siding &amp; trim. Infrastructure Products net sales of $241 million increased by $78 million from the third quarter of 2025 primarily due to the January 2026 acquisition of ACI.</w:t>
      </w:r>
    </w:p>
    <w:p>
      <w:pPr>
        <w:spacing w:after="0" w:line="137"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2"/>
          <w:szCs w:val="12"/>
          <w:color w:val="auto"/>
        </w:rPr>
        <w:t>Sequentially, Housing and Infrastructure Products income from operations decreased by $84 million as compared to the second quarter of 2026. This decrease in income from operations versus the prior quarter was primarily due to lower sales volume, particularly for pipe &amp; fittings with some demand shifting from the third quarter of 2026 into the second quarter of 2026 as customers sought to secure supply in the wake of the onset of the conflict in the Middle East.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Performance and Essential Materials Segment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(Unless otherwise noted the financial numbers below exclude the effects of the Identified Items)</w:t>
      </w:r>
    </w:p>
    <w:p>
      <w:pPr>
        <w:spacing w:after="0" w:line="114" w:lineRule="exact"/>
        <w:rPr>
          <w:sz w:val="20"/>
          <w:szCs w:val="20"/>
          <w:color w:val="auto"/>
        </w:rPr>
      </w:pPr>
    </w:p>
    <w:p>
      <w:pPr>
        <w:jc w:val="both"/>
        <w:ind w:right="40"/>
        <w:spacing w:after="0" w:line="260" w:lineRule="auto"/>
        <w:rPr>
          <w:sz w:val="20"/>
          <w:szCs w:val="20"/>
          <w:color w:val="auto"/>
        </w:rPr>
      </w:pPr>
      <w:r>
        <w:rPr>
          <w:rFonts w:ascii="Times New Roman" w:cs="Times New Roman" w:eastAsia="Times New Roman" w:hAnsi="Times New Roman"/>
          <w:sz w:val="12"/>
          <w:szCs w:val="12"/>
          <w:color w:val="auto"/>
        </w:rPr>
        <w:t>For the third quarter of 2026, Performance and Essential Materials loss from operations was $8 million as compared to the third quarter of 2025's loss from operations of $158 million. The decrease in loss from operations was due to a 9% increase in average sales price and margin benefits from our three-pillar profitability improvement plan. Performance Materials net sales of $1.2 billion in the third quarter of 2026 increased by $166 million from the third quarter of 2025 primarily due to a higher average sales price for polyethylene and PVC resin. Essential Materials net sales of $718 million decreased by $19 million from the third quarter of 2025 primarily due to lower caustic soda sales volume partially due to plant shutdowns.</w:t>
      </w:r>
    </w:p>
    <w:p>
      <w:pPr>
        <w:spacing w:after="0" w:line="140"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2"/>
          <w:szCs w:val="12"/>
          <w:color w:val="auto"/>
        </w:rPr>
        <w:t>Sequentially, Performance and Essential Materials loss from operations of $8 million for the third quarter of 2026 was $193 million lower than the second quarter of 2026's income from operations of $185 million. This decrease in income from operations versus the prior quarter was primarily due to a lower average sales price, particularly for PVC resin and polyethylene, and higher European energy costs.</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iii</w:t>
      </w:r>
    </w:p>
    <w:p>
      <w:pPr>
        <w:sectPr>
          <w:pgSz w:w="11900" w:h="16838" w:orient="portrait"/>
          <w:cols w:equalWidth="0" w:num="1">
            <w:col w:w="11280"/>
          </w:cols>
          <w:pgMar w:left="300" w:top="750"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i w:val="1"/>
          <w:iCs w:val="1"/>
          <w:color w:val="auto"/>
        </w:rPr>
        <w:t>Forward-Looking Statements</w:t>
      </w:r>
    </w:p>
    <w:p>
      <w:pPr>
        <w:spacing w:after="0" w:line="14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2"/>
          <w:szCs w:val="12"/>
          <w:i w:val="1"/>
          <w:iCs w:val="1"/>
          <w:color w:val="auto"/>
        </w:rPr>
        <w:t>The statements in this release and the related teleconference relating to matters that are not historical facts, including statements regarding our outlook for the performance of our business segments and future earnings, global macroeconomic conditions and their effects on us and our customers, expectations regarding interest rates and building costs, trends in the global cost curve and any associated pricing and margin benefits, industrial and manufacturing activity in our target markets, including infrastructure spending and investment, expectations regarding cash flow improvements, our ability to pass higher costs to customers, future sales and earnings growth, our capital deployment strategy, growth in our customers' businesses and their dependence on our products, the effects of the conflict in the Middle East, our competitors and global supply chains, future global trading policy and relationships, housing demand and residential construction activity, raw material costs, fluctuations in energy and feedstock prices, our ability to execute against our profitability improvement plan and the effects of our optimization initiatives (including anticipated cost savings), our market position and the strength of our brands, the benefits of a diversified and integrated business model, our ability to maintain cost advantages and global demand for our products are forward-looking statements.</w:t>
      </w:r>
    </w:p>
    <w:p>
      <w:pPr>
        <w:spacing w:after="0" w:line="14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2"/>
          <w:szCs w:val="12"/>
          <w:i w:val="1"/>
          <w:iCs w:val="1"/>
          <w:color w:val="auto"/>
        </w:rPr>
        <w:t>These forward-looking statements are subject to significant risks and uncertainties. Actual results could differ materially, based on factors including, but not limited to: general economic and business conditions; the cyclical nature of the chemical and building products industries; the availability, cost and volatility of raw materials and energy; uncertainties associated with the United States, European and worldwide economies, including those due to political tensions and conflict in the Middle East, Russia and Ukraine and elsewhere; uncertainties associated with pandemic infectious diseases; uncertainties associated with climate change; the potential impact on demand for ethylene, polyethylene and polyvinyl chloride due to initiatives such as recycling and customers seeking alternatives to polymers; current and potential governmental regulatory actions in the United States and other countries; industry production capacity and operating rates; the supply/demand balance for Westlake's products; competitive products and pricing pressures; instability in the credit and financial markets; access to capital markets; terrorist acts; operating interruptions; changes in laws and regulations, including trade policies and tariffs; the effects of government shutdowns; technological developments; information systems failures and cyberattacks; foreign currency exchange risks; our ability to implement our business strategies; creditworthiness of our customers; the effects and results of litigation and settlements of litigation; and other risk factors. For more detailed information about the factors that could cause actual results to differ materially, please refer to Westlake's Annual Report on Form 10-K for the year ended December 31, 2025, which was filed with the SEC in February 2026 and Westlake's Quarterly Report on Form 10-Q for the quarterly period ended June 30, 2026, which was filed with the SEC in August 2026.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Use of Non-GAAP Financial Measures</w:t>
      </w:r>
    </w:p>
    <w:p>
      <w:pPr>
        <w:spacing w:after="0" w:line="14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2"/>
          <w:szCs w:val="12"/>
          <w:i w:val="1"/>
          <w:iCs w:val="1"/>
          <w:color w:val="auto"/>
        </w:rPr>
        <w:t>This release makes reference to certain "non-GAAP" financial measures, such as EBITDA, free cash flow and other measures that exclude the effects of the Identified Items, as defined in Regulation G of the U.S. Securities Exchange Act of 1934, as amended. For this purpose, a non-GAAP financial measure is generally defined by the Securities and Exchange Commission (SEC) as a numerical measure of a registrant's historical or future financial performance, financial position or cash flows that (1) excludes amounts, or is subject to adjustments that have the effect of excluding amounts, that are included in the most directly comparable measure calculated and presented in accordance with GAAP in the statement of operations, balance sheet or statement of cash flows (or equivalent statements) of the registrant; or (2) includes amounts, or is subject to adjustments that have the effect of including amounts, that are excluded from the most directly comparable measure so calculated and presented. We report our financial results in accordance with U.S. generally accepted accounting principles (U.S. GAAP), but believe that certain non-GAAP financial measures, such as EBITDA, free cash flow and measures that exclude the effects of the Identified Items, provide useful supplemental information to investors regarding the underlying business trends and performance of the Company's ongoing operations and are useful for period-over-period comparisons of such operations. These non-GAAP financial measures should be considered as a supplement to, and not as a substitute for or superior to, the financial measures prepared in accordance with U.S. GAAP. A reconciliation of (i) net income (loss), income (loss) from operations and net cash provided by operating activities to EBITDA, and (ii) net cash provided by operating activities to free cash flow and (iii) other measures reflecting adjustments for the effects of the Identified Items can be found in the financial schedules at the end of this 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iv</w:t>
      </w:r>
    </w:p>
    <w:p>
      <w:pPr>
        <w:sectPr>
          <w:pgSz w:w="11900" w:h="16838" w:orient="portrait"/>
          <w:cols w:equalWidth="0" w:num="1">
            <w:col w:w="11300"/>
          </w:cols>
          <w:pgMar w:left="300" w:top="892"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color w:val="auto"/>
        </w:rPr>
        <w:t>About Westlake</w:t>
      </w:r>
    </w:p>
    <w:p>
      <w:pPr>
        <w:spacing w:after="0" w:line="141" w:lineRule="exact"/>
        <w:rPr>
          <w:sz w:val="20"/>
          <w:szCs w:val="20"/>
          <w:color w:val="auto"/>
        </w:rPr>
      </w:pPr>
    </w:p>
    <w:p>
      <w:pPr>
        <w:spacing w:after="0" w:line="327" w:lineRule="auto"/>
        <w:rPr>
          <w:sz w:val="20"/>
          <w:szCs w:val="20"/>
          <w:color w:val="auto"/>
        </w:rPr>
      </w:pPr>
      <w:r>
        <w:rPr>
          <w:rFonts w:ascii="Times New Roman" w:cs="Times New Roman" w:eastAsia="Times New Roman" w:hAnsi="Times New Roman"/>
          <w:sz w:val="11"/>
          <w:szCs w:val="11"/>
          <w:color w:val="auto"/>
        </w:rPr>
        <w:t xml:space="preserve">Celebrating 40 years of operations in 2026, Westlake is a global manufacturer and supplier of materials and innovative products that enhance life every day. Headquartered in Houston, with operations in Asia, Europe and North America, we provide the building blocks for vital solutions — from housing and construction, to packaging and healthcare, to automotive and consumer goods. For more information, visit the Company's web site at </w:t>
      </w:r>
      <w:r>
        <w:rPr>
          <w:rFonts w:ascii="Times New Roman" w:cs="Times New Roman" w:eastAsia="Times New Roman" w:hAnsi="Times New Roman"/>
          <w:sz w:val="11"/>
          <w:szCs w:val="11"/>
          <w:color w:val="0000FF"/>
        </w:rPr>
        <w:t>www.westlake.com.</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Westlake Corporation Conference Call Information:</w:t>
      </w:r>
    </w:p>
    <w:p>
      <w:pPr>
        <w:spacing w:after="0" w:line="141"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2"/>
          <w:szCs w:val="12"/>
          <w:color w:val="auto"/>
        </w:rPr>
        <w:t xml:space="preserve">A conference call to discuss Westlake Corporation's third quarter 2026 results will be held Wednesday, November 4, 2026 at 11:00 AM Eastern Time (10:00 AM Central Time). To access the conference call, it is necessary to pre-register at </w:t>
      </w:r>
      <w:r>
        <w:rPr>
          <w:rFonts w:ascii="Times New Roman" w:cs="Times New Roman" w:eastAsia="Times New Roman" w:hAnsi="Times New Roman"/>
          <w:sz w:val="12"/>
          <w:szCs w:val="12"/>
          <w:color w:val="0000FF"/>
        </w:rPr>
        <w:t>https://register-conf.media-server.com/register/BIb43f6e616a634ff28258b88359118d2b</w:t>
      </w:r>
      <w:r>
        <w:rPr>
          <w:rFonts w:ascii="Times New Roman" w:cs="Times New Roman" w:eastAsia="Times New Roman" w:hAnsi="Times New Roman"/>
          <w:sz w:val="12"/>
          <w:szCs w:val="12"/>
          <w:color w:val="auto"/>
        </w:rPr>
        <w:t>. Once registered, you will receive a phone number and unique PIN number.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A replay of the conference call will be available beginning two hours after its conclusion. The conference call and replay will be available via webcast at </w:t>
      </w:r>
      <w:r>
        <w:rPr>
          <w:rFonts w:ascii="Times New Roman" w:cs="Times New Roman" w:eastAsia="Times New Roman" w:hAnsi="Times New Roman"/>
          <w:sz w:val="12"/>
          <w:szCs w:val="12"/>
          <w:color w:val="0000FF"/>
        </w:rPr>
        <w:t>https://edge.media-server.com/mmc/p/myjybcxp</w:t>
      </w:r>
      <w:r>
        <w:rPr>
          <w:rFonts w:ascii="Times New Roman" w:cs="Times New Roman" w:eastAsia="Times New Roman" w:hAnsi="Times New Roman"/>
          <w:sz w:val="12"/>
          <w:szCs w:val="12"/>
          <w:color w:val="auto"/>
        </w:rPr>
        <w:t>.</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v</w:t>
      </w:r>
    </w:p>
    <w:p>
      <w:pPr>
        <w:sectPr>
          <w:pgSz w:w="11900" w:h="16838" w:orient="portrait"/>
          <w:cols w:equalWidth="0" w:num="1">
            <w:col w:w="11260"/>
          </w:cols>
          <w:pgMar w:left="300" w:top="894" w:right="339" w:bottom="1440" w:gutter="0" w:footer="0" w:header="0"/>
        </w:sectPr>
      </w:pPr>
    </w:p>
    <w:bookmarkStart w:id="9" w:name="page10"/>
    <w:bookmarkEnd w:id="9"/>
    <w:p>
      <w:pPr>
        <w:ind w:left="4840"/>
        <w:spacing w:after="0"/>
        <w:rPr>
          <w:sz w:val="20"/>
          <w:szCs w:val="20"/>
          <w:color w:val="auto"/>
        </w:rPr>
      </w:pPr>
      <w:r>
        <w:rPr>
          <w:rFonts w:ascii="Times New Roman" w:cs="Times New Roman" w:eastAsia="Times New Roman" w:hAnsi="Times New Roman"/>
          <w:sz w:val="12"/>
          <w:szCs w:val="12"/>
          <w:b w:val="1"/>
          <w:bCs w:val="1"/>
          <w:color w:val="auto"/>
        </w:rPr>
        <w:t>WESTLAKE CORPORATION</w:t>
      </w:r>
    </w:p>
    <w:p>
      <w:pPr>
        <w:spacing w:after="0" w:line="11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2"/>
          <w:szCs w:val="12"/>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700" w:type="dxa"/>
            <w:vAlign w:val="bottom"/>
            <w:gridSpan w:val="5"/>
          </w:tcPr>
          <w:p>
            <w:pPr>
              <w:ind w:left="400"/>
              <w:spacing w:after="0"/>
              <w:rPr>
                <w:sz w:val="20"/>
                <w:szCs w:val="20"/>
                <w:color w:val="auto"/>
              </w:rPr>
            </w:pPr>
            <w:r>
              <w:rPr>
                <w:rFonts w:ascii="Times New Roman" w:cs="Times New Roman" w:eastAsia="Times New Roman" w:hAnsi="Times New Roman"/>
                <w:sz w:val="10"/>
                <w:szCs w:val="10"/>
                <w:b w:val="1"/>
                <w:bCs w:val="1"/>
                <w:color w:val="auto"/>
              </w:rPr>
              <w:t>Three Months Ended September 30,</w:t>
            </w:r>
          </w:p>
        </w:tc>
        <w:tc>
          <w:tcPr>
            <w:tcW w:w="340" w:type="dxa"/>
            <w:vAlign w:val="bottom"/>
          </w:tcPr>
          <w:p>
            <w:pPr>
              <w:spacing w:after="0"/>
              <w:rPr>
                <w:sz w:val="11"/>
                <w:szCs w:val="11"/>
                <w:color w:val="auto"/>
              </w:rPr>
            </w:pPr>
          </w:p>
        </w:tc>
        <w:tc>
          <w:tcPr>
            <w:tcW w:w="2600" w:type="dxa"/>
            <w:vAlign w:val="bottom"/>
            <w:gridSpan w:val="4"/>
          </w:tcPr>
          <w:p>
            <w:pPr>
              <w:jc w:val="right"/>
              <w:ind w:right="701"/>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r>
      <w:tr>
        <w:trPr>
          <w:trHeight w:val="128"/>
        </w:trPr>
        <w:tc>
          <w:tcPr>
            <w:tcW w:w="5300" w:type="dxa"/>
            <w:vAlign w:val="bottom"/>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100" w:type="dxa"/>
            <w:vAlign w:val="bottom"/>
            <w:tcBorders>
              <w:top w:val="single" w:sz="8" w:color="auto"/>
              <w:bottom w:val="single" w:sz="8" w:color="auto"/>
            </w:tcBorders>
          </w:tcPr>
          <w:p>
            <w:pPr>
              <w:jc w:val="right"/>
              <w:ind w:right="561"/>
              <w:spacing w:after="0"/>
              <w:rPr>
                <w:sz w:val="20"/>
                <w:szCs w:val="20"/>
                <w:color w:val="auto"/>
              </w:rPr>
            </w:pPr>
            <w:r>
              <w:rPr>
                <w:rFonts w:ascii="Times New Roman" w:cs="Times New Roman" w:eastAsia="Times New Roman" w:hAnsi="Times New Roman"/>
                <w:sz w:val="10"/>
                <w:szCs w:val="10"/>
                <w:b w:val="1"/>
                <w:bCs w:val="1"/>
                <w:color w:val="auto"/>
              </w:rPr>
              <w:t>2026</w:t>
            </w: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300" w:type="dxa"/>
            <w:vAlign w:val="bottom"/>
            <w:tcBorders>
              <w:top w:val="single" w:sz="8" w:color="auto"/>
              <w:bottom w:val="single" w:sz="8" w:color="auto"/>
            </w:tcBorders>
          </w:tcPr>
          <w:p>
            <w:pPr>
              <w:jc w:val="right"/>
              <w:ind w:right="541"/>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561"/>
              <w:spacing w:after="0"/>
              <w:rPr>
                <w:sz w:val="20"/>
                <w:szCs w:val="20"/>
                <w:color w:val="auto"/>
              </w:rPr>
            </w:pPr>
            <w:r>
              <w:rPr>
                <w:rFonts w:ascii="Times New Roman" w:cs="Times New Roman" w:eastAsia="Times New Roman" w:hAnsi="Times New Roman"/>
                <w:sz w:val="10"/>
                <w:szCs w:val="10"/>
                <w:b w:val="1"/>
                <w:bCs w:val="1"/>
                <w:color w:val="auto"/>
              </w:rPr>
              <w:t>2026</w:t>
            </w: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561"/>
              <w:spacing w:after="0"/>
              <w:rPr>
                <w:sz w:val="20"/>
                <w:szCs w:val="20"/>
                <w:color w:val="auto"/>
              </w:rPr>
            </w:pPr>
            <w:r>
              <w:rPr>
                <w:rFonts w:ascii="Times New Roman" w:cs="Times New Roman" w:eastAsia="Times New Roman" w:hAnsi="Times New Roman"/>
                <w:sz w:val="10"/>
                <w:szCs w:val="10"/>
                <w:b w:val="1"/>
                <w:bCs w:val="1"/>
                <w:color w:val="auto"/>
              </w:rPr>
              <w:t>2025</w:t>
            </w:r>
          </w:p>
        </w:tc>
      </w:tr>
      <w:tr>
        <w:trPr>
          <w:trHeight w:val="147"/>
        </w:trPr>
        <w:tc>
          <w:tcPr>
            <w:tcW w:w="5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20" w:type="dxa"/>
            <w:vAlign w:val="bottom"/>
            <w:gridSpan w:val="5"/>
          </w:tcPr>
          <w:p>
            <w:pPr>
              <w:ind w:left="40"/>
              <w:spacing w:after="0"/>
              <w:rPr>
                <w:sz w:val="20"/>
                <w:szCs w:val="20"/>
                <w:color w:val="auto"/>
              </w:rPr>
            </w:pPr>
            <w:r>
              <w:rPr>
                <w:rFonts w:ascii="Times New Roman" w:cs="Times New Roman" w:eastAsia="Times New Roman" w:hAnsi="Times New Roman"/>
                <w:sz w:val="10"/>
                <w:szCs w:val="10"/>
                <w:b w:val="1"/>
                <w:bCs w:val="1"/>
                <w:color w:val="auto"/>
              </w:rPr>
              <w:t>(in millions of dollars, except per share data and share amounts)</w:t>
            </w: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61"/>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sales</w:t>
            </w: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2,981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2,838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8,904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8,637</w:t>
            </w:r>
          </w:p>
        </w:tc>
      </w:tr>
      <w:tr>
        <w:trPr>
          <w:trHeight w:val="153"/>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Cost of sales</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2,599</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2,602</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7,758</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7,911</w:t>
            </w:r>
          </w:p>
        </w:tc>
      </w:tr>
      <w:tr>
        <w:trPr>
          <w:trHeight w:val="142"/>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Gross profit</w:t>
            </w: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382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1,146</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726</w:t>
            </w:r>
          </w:p>
        </w:tc>
      </w:tr>
      <w:tr>
        <w:trPr>
          <w:trHeight w:val="153"/>
        </w:trPr>
        <w:tc>
          <w:tcPr>
            <w:tcW w:w="53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Selling, general and administrative expenses</w:t>
            </w:r>
          </w:p>
        </w:tc>
        <w:tc>
          <w:tcPr>
            <w:tcW w:w="340" w:type="dxa"/>
            <w:vAlign w:val="bottom"/>
          </w:tcPr>
          <w:p>
            <w:pPr>
              <w:spacing w:after="0"/>
              <w:rPr>
                <w:sz w:val="13"/>
                <w:szCs w:val="13"/>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250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676</w:t>
            </w:r>
          </w:p>
        </w:tc>
      </w:tr>
      <w:tr>
        <w:trPr>
          <w:trHeight w:val="15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Impairment of goodwill</w:t>
            </w:r>
          </w:p>
        </w:tc>
        <w:tc>
          <w:tcPr>
            <w:tcW w:w="3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727</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727</w:t>
            </w:r>
          </w:p>
        </w:tc>
      </w:tr>
      <w:tr>
        <w:trPr>
          <w:trHeight w:val="153"/>
        </w:trPr>
        <w:tc>
          <w:tcPr>
            <w:tcW w:w="53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Amortization of intangibles</w:t>
            </w:r>
          </w:p>
        </w:tc>
        <w:tc>
          <w:tcPr>
            <w:tcW w:w="340" w:type="dxa"/>
            <w:vAlign w:val="bottom"/>
          </w:tcPr>
          <w:p>
            <w:pPr>
              <w:spacing w:after="0"/>
              <w:rPr>
                <w:sz w:val="13"/>
                <w:szCs w:val="13"/>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w:t>
            </w:r>
          </w:p>
        </w:tc>
      </w:tr>
      <w:tr>
        <w:trPr>
          <w:trHeight w:val="15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Restructuring, transaction and integration-related costs</w:t>
            </w: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58</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w:t>
            </w:r>
          </w:p>
        </w:tc>
      </w:tr>
      <w:tr>
        <w:trPr>
          <w:trHeight w:val="142"/>
        </w:trPr>
        <w:tc>
          <w:tcPr>
            <w:tcW w:w="53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Income (loss) from operations</w:t>
            </w:r>
          </w:p>
        </w:tc>
        <w:tc>
          <w:tcPr>
            <w:tcW w:w="340" w:type="dxa"/>
            <w:vAlign w:val="bottom"/>
          </w:tcPr>
          <w:p>
            <w:pPr>
              <w:spacing w:after="0"/>
              <w:rPr>
                <w:sz w:val="12"/>
                <w:szCs w:val="12"/>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(766)</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235</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(907)</w:t>
            </w:r>
          </w:p>
        </w:tc>
      </w:tr>
      <w:tr>
        <w:trPr>
          <w:trHeight w:val="153"/>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Interest expense</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w:t>
            </w:r>
          </w:p>
        </w:tc>
      </w:tr>
      <w:tr>
        <w:trPr>
          <w:trHeight w:val="153"/>
        </w:trPr>
        <w:tc>
          <w:tcPr>
            <w:tcW w:w="5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Other income, net</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17</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93</w:t>
            </w:r>
          </w:p>
        </w:tc>
      </w:tr>
      <w:tr>
        <w:trPr>
          <w:trHeight w:val="142"/>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Income (loss) before income taxes</w:t>
            </w: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(775)</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(934)</w:t>
            </w:r>
          </w:p>
        </w:tc>
      </w:tr>
      <w:tr>
        <w:trPr>
          <w:trHeight w:val="153"/>
        </w:trPr>
        <w:tc>
          <w:tcPr>
            <w:tcW w:w="53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2"/>
                <w:szCs w:val="12"/>
                <w:color w:val="auto"/>
              </w:rPr>
              <w:t>Provision for (benefit from) income taxes</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w:t>
            </w:r>
          </w:p>
        </w:tc>
      </w:tr>
      <w:tr>
        <w:trPr>
          <w:trHeight w:val="142"/>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income (loss)</w:t>
            </w: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(772)</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(938)</w:t>
            </w:r>
          </w:p>
        </w:tc>
      </w:tr>
      <w:tr>
        <w:trPr>
          <w:trHeight w:val="153"/>
        </w:trPr>
        <w:tc>
          <w:tcPr>
            <w:tcW w:w="5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Net income attributable to noncontrolling interests</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w:t>
            </w:r>
          </w:p>
        </w:tc>
      </w:tr>
      <w:tr>
        <w:trPr>
          <w:trHeight w:val="162"/>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Net income (loss) attributable to Westlake Corporation</w:t>
            </w: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6</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(782)</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97</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(964)</w:t>
            </w:r>
          </w:p>
        </w:tc>
      </w:tr>
      <w:tr>
        <w:trPr>
          <w:trHeight w:val="131"/>
        </w:trPr>
        <w:tc>
          <w:tcPr>
            <w:tcW w:w="5300" w:type="dxa"/>
            <w:vAlign w:val="bottom"/>
          </w:tcPr>
          <w:p>
            <w:pPr>
              <w:ind w:left="20"/>
              <w:spacing w:after="0" w:line="131" w:lineRule="exact"/>
              <w:rPr>
                <w:sz w:val="20"/>
                <w:szCs w:val="20"/>
                <w:color w:val="auto"/>
              </w:rPr>
            </w:pPr>
            <w:r>
              <w:rPr>
                <w:rFonts w:ascii="Times New Roman" w:cs="Times New Roman" w:eastAsia="Times New Roman" w:hAnsi="Times New Roman"/>
                <w:sz w:val="12"/>
                <w:szCs w:val="12"/>
                <w:color w:val="auto"/>
              </w:rPr>
              <w:t>Earnings (loss) per common share attributable to Westlake Corporation:</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53"/>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Basic</w:t>
            </w: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0.05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(6.06)</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0.75</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(7.48)</w:t>
            </w:r>
          </w:p>
        </w:tc>
      </w:tr>
      <w:tr>
        <w:trPr>
          <w:trHeight w:val="169"/>
        </w:trPr>
        <w:tc>
          <w:tcPr>
            <w:tcW w:w="5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Diluted</w:t>
            </w: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0.05</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(6.06)</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0.75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(7.48)</w:t>
            </w:r>
          </w:p>
        </w:tc>
      </w:tr>
      <w:tr>
        <w:trPr>
          <w:trHeight w:val="135"/>
        </w:trPr>
        <w:tc>
          <w:tcPr>
            <w:tcW w:w="53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color w:val="auto"/>
              </w:rPr>
              <w:t>Weighted average common shares outstanding:</w:t>
            </w: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r>
      <w:tr>
        <w:trPr>
          <w:trHeight w:val="153"/>
        </w:trPr>
        <w:tc>
          <w:tcPr>
            <w:tcW w:w="53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Basic</w:t>
            </w:r>
          </w:p>
        </w:tc>
        <w:tc>
          <w:tcPr>
            <w:tcW w:w="340" w:type="dxa"/>
            <w:vAlign w:val="bottom"/>
          </w:tcPr>
          <w:p>
            <w:pPr>
              <w:spacing w:after="0"/>
              <w:rPr>
                <w:sz w:val="13"/>
                <w:szCs w:val="13"/>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127,830,227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128,251,427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127,953,601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128,265,950</w:t>
            </w:r>
          </w:p>
        </w:tc>
      </w:tr>
      <w:tr>
        <w:trPr>
          <w:trHeight w:val="169"/>
        </w:trPr>
        <w:tc>
          <w:tcPr>
            <w:tcW w:w="5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Diluted</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127,962,530</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128,251,427</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128,270,824</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128,265,950</w:t>
            </w: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vi</w:t>
      </w:r>
    </w:p>
    <w:p>
      <w:pPr>
        <w:sectPr>
          <w:pgSz w:w="11900" w:h="16838" w:orient="portrait"/>
          <w:cols w:equalWidth="0" w:num="1">
            <w:col w:w="11280"/>
          </w:cols>
          <w:pgMar w:left="300" w:top="800" w:right="319" w:bottom="1440" w:gutter="0" w:footer="0" w:header="0"/>
        </w:sectPr>
      </w:pPr>
    </w:p>
    <w:bookmarkStart w:id="10" w:name="page11"/>
    <w:bookmarkEnd w:id="10"/>
    <w:p>
      <w:pPr>
        <w:ind w:left="4840"/>
        <w:spacing w:after="0"/>
        <w:rPr>
          <w:sz w:val="20"/>
          <w:szCs w:val="20"/>
          <w:color w:val="auto"/>
        </w:rPr>
      </w:pPr>
      <w:r>
        <w:rPr>
          <w:rFonts w:ascii="Times New Roman" w:cs="Times New Roman" w:eastAsia="Times New Roman" w:hAnsi="Times New Roman"/>
          <w:sz w:val="12"/>
          <w:szCs w:val="12"/>
          <w:b w:val="1"/>
          <w:bCs w:val="1"/>
          <w:color w:val="auto"/>
        </w:rPr>
        <w:t>WESTLAKE CORPORATION</w:t>
      </w:r>
    </w:p>
    <w:p>
      <w:pPr>
        <w:spacing w:after="0" w:line="11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62" w:lineRule="exact"/>
        <w:rPr>
          <w:sz w:val="20"/>
          <w:szCs w:val="20"/>
          <w:color w:val="auto"/>
        </w:rPr>
      </w:pPr>
    </w:p>
    <w:tbl>
      <w:tblPr>
        <w:tblLayout w:type="fixed"/>
        <w:tblInd w:w="8320" w:type="dxa"/>
        <w:tblCellMar>
          <w:top w:w="0" w:type="dxa"/>
          <w:left w:w="0" w:type="dxa"/>
          <w:bottom w:w="0" w:type="dxa"/>
          <w:right w:w="0" w:type="dxa"/>
        </w:tblCellMar>
      </w:tblPr>
      <w:tr>
        <w:trPr>
          <w:trHeight w:val="115"/>
        </w:trPr>
        <w:tc>
          <w:tcPr>
            <w:tcW w:w="1020" w:type="dxa"/>
            <w:vAlign w:val="bottom"/>
          </w:tcPr>
          <w:p>
            <w:pPr>
              <w:jc w:val="center"/>
              <w:ind w:left="372"/>
              <w:spacing w:after="0"/>
              <w:rPr>
                <w:sz w:val="20"/>
                <w:szCs w:val="20"/>
                <w:color w:val="auto"/>
              </w:rPr>
            </w:pPr>
            <w:r>
              <w:rPr>
                <w:rFonts w:ascii="Times New Roman" w:cs="Times New Roman" w:eastAsia="Times New Roman" w:hAnsi="Times New Roman"/>
                <w:sz w:val="10"/>
                <w:szCs w:val="10"/>
                <w:b w:val="1"/>
                <w:bCs w:val="1"/>
                <w:color w:val="auto"/>
                <w:w w:val="98"/>
              </w:rPr>
              <w:t>September 30,</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r>
      <w:tr>
        <w:trPr>
          <w:trHeight w:val="130"/>
        </w:trPr>
        <w:tc>
          <w:tcPr>
            <w:tcW w:w="10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2026</w:t>
            </w:r>
          </w:p>
        </w:tc>
        <w:tc>
          <w:tcPr>
            <w:tcW w:w="4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0"/>
                <w:szCs w:val="10"/>
                <w:b w:val="1"/>
                <w:bCs w:val="1"/>
                <w:color w:val="auto"/>
              </w:rPr>
              <w:t>2025</w:t>
            </w:r>
          </w:p>
        </w:tc>
      </w:tr>
      <w:tr>
        <w:trPr>
          <w:trHeight w:val="139"/>
        </w:trPr>
        <w:tc>
          <w:tcPr>
            <w:tcW w:w="1020" w:type="dxa"/>
            <w:vAlign w:val="bottom"/>
          </w:tcPr>
          <w:p>
            <w:pPr>
              <w:spacing w:after="0"/>
              <w:rPr>
                <w:sz w:val="12"/>
                <w:szCs w:val="12"/>
                <w:color w:val="auto"/>
              </w:rPr>
            </w:pPr>
          </w:p>
        </w:tc>
        <w:tc>
          <w:tcPr>
            <w:tcW w:w="194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(in millions of dollars)</w:t>
            </w:r>
          </w:p>
        </w:tc>
      </w:tr>
    </w:tbl>
    <w:p>
      <w:pPr>
        <w:spacing w:after="0" w:line="11" w:lineRule="exact"/>
        <w:rPr>
          <w:sz w:val="20"/>
          <w:szCs w:val="20"/>
          <w:color w:val="auto"/>
        </w:rPr>
      </w:pPr>
    </w:p>
    <w:p>
      <w:pPr>
        <w:sectPr>
          <w:pgSz w:w="11900" w:h="16838" w:orient="portrait"/>
          <w:cols w:equalWidth="0" w:num="1">
            <w:col w:w="11280"/>
          </w:cols>
          <w:pgMar w:left="300" w:top="800" w:right="319" w:bottom="1440" w:gutter="0" w:footer="0" w:header="0"/>
        </w:sectPr>
      </w:pP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Current assets</w:t>
      </w:r>
    </w:p>
    <w:p>
      <w:pPr>
        <w:spacing w:after="0" w:line="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Cash and cash equivalents</w:t>
      </w:r>
    </w:p>
    <w:p>
      <w:pPr>
        <w:spacing w:after="0" w:line="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Available-for-sale securities</w:t>
      </w:r>
    </w:p>
    <w:p>
      <w:pPr>
        <w:spacing w:after="0" w:line="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Accounts receivable, net</w:t>
      </w:r>
    </w:p>
    <w:p>
      <w:pPr>
        <w:spacing w:after="0" w:line="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Inventories</w:t>
      </w:r>
    </w:p>
    <w:p>
      <w:pPr>
        <w:spacing w:after="0" w:line="15" w:lineRule="exact"/>
        <w:rPr>
          <w:sz w:val="20"/>
          <w:szCs w:val="20"/>
          <w:color w:val="auto"/>
        </w:rPr>
      </w:pPr>
    </w:p>
    <w:p>
      <w:pPr>
        <w:ind w:left="440" w:right="420" w:hanging="215"/>
        <w:spacing w:after="0" w:line="273" w:lineRule="auto"/>
        <w:rPr>
          <w:sz w:val="20"/>
          <w:szCs w:val="20"/>
          <w:color w:val="auto"/>
        </w:rPr>
      </w:pPr>
      <w:r>
        <w:rPr>
          <w:rFonts w:ascii="Times New Roman" w:cs="Times New Roman" w:eastAsia="Times New Roman" w:hAnsi="Times New Roman"/>
          <w:sz w:val="12"/>
          <w:szCs w:val="12"/>
          <w:color w:val="auto"/>
        </w:rPr>
        <w:t>Prepaid expenses and other current assets Total current assets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Property, plant and equipment, net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Other assets, net</w:t>
      </w:r>
    </w:p>
    <w:p>
      <w:pPr>
        <w:spacing w:after="0" w:line="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Total assets</w:t>
      </w:r>
    </w:p>
    <w:p>
      <w:pPr>
        <w:spacing w:after="0" w:line="20" w:lineRule="exact"/>
        <w:rPr>
          <w:sz w:val="20"/>
          <w:szCs w:val="20"/>
          <w:color w:val="auto"/>
        </w:rPr>
      </w:pPr>
      <w:r>
        <w:rPr>
          <w:sz w:val="20"/>
          <w:szCs w:val="20"/>
          <w:color w:val="auto"/>
        </w:rPr>
        <w:br w:type="column"/>
      </w:r>
    </w:p>
    <w:p>
      <w:pPr>
        <w:ind w:left="560"/>
        <w:spacing w:after="0"/>
        <w:rPr>
          <w:sz w:val="20"/>
          <w:szCs w:val="20"/>
          <w:color w:val="auto"/>
        </w:rPr>
      </w:pPr>
      <w:r>
        <w:rPr>
          <w:rFonts w:ascii="Times New Roman" w:cs="Times New Roman" w:eastAsia="Times New Roman" w:hAnsi="Times New Roman"/>
          <w:sz w:val="12"/>
          <w:szCs w:val="12"/>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-2125345</wp:posOffset>
            </wp:positionH>
            <wp:positionV relativeFrom="paragraph">
              <wp:posOffset>-83185</wp:posOffset>
            </wp:positionV>
            <wp:extent cx="7166610" cy="971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6610" cy="97155"/>
                    </a:xfrm>
                    <a:prstGeom prst="rect">
                      <a:avLst/>
                    </a:prstGeom>
                    <a:noFill/>
                  </pic:spPr>
                </pic:pic>
              </a:graphicData>
            </a:graphic>
          </wp:anchor>
        </w:drawing>
      </w:r>
    </w:p>
    <w:p>
      <w:pPr>
        <w:spacing w:after="0" w:line="152" w:lineRule="exact"/>
        <w:rPr>
          <w:sz w:val="20"/>
          <w:szCs w:val="20"/>
          <w:color w:val="auto"/>
        </w:rPr>
      </w:pPr>
    </w:p>
    <w:tbl>
      <w:tblPr>
        <w:tblLayout w:type="fixed"/>
        <w:tblInd w:w="4980" w:type="dxa"/>
        <w:tblCellMar>
          <w:top w:w="0" w:type="dxa"/>
          <w:left w:w="0" w:type="dxa"/>
          <w:bottom w:w="0" w:type="dxa"/>
          <w:right w:w="0" w:type="dxa"/>
        </w:tblCellMar>
      </w:tblPr>
      <w:tr>
        <w:trPr>
          <w:trHeight w:val="153"/>
        </w:trPr>
        <w:tc>
          <w:tcPr>
            <w:tcW w:w="56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1,764</w:t>
            </w:r>
          </w:p>
        </w:tc>
        <w:tc>
          <w:tcPr>
            <w:tcW w:w="80" w:type="dxa"/>
            <w:vAlign w:val="bottom"/>
          </w:tcPr>
          <w:p>
            <w:pPr>
              <w:spacing w:after="0"/>
              <w:rPr>
                <w:sz w:val="13"/>
                <w:szCs w:val="13"/>
                <w:color w:val="auto"/>
              </w:rPr>
            </w:pPr>
          </w:p>
        </w:tc>
        <w:tc>
          <w:tcPr>
            <w:tcW w:w="56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2,724</w:t>
            </w:r>
          </w:p>
        </w:tc>
      </w:tr>
      <w:tr>
        <w:trPr>
          <w:trHeight w:val="153"/>
        </w:trPr>
        <w:tc>
          <w:tcPr>
            <w:tcW w:w="5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204</w:t>
            </w:r>
          </w:p>
        </w:tc>
      </w:tr>
      <w:tr>
        <w:trPr>
          <w:trHeight w:val="153"/>
        </w:trPr>
        <w:tc>
          <w:tcPr>
            <w:tcW w:w="5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1,697</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1,504</w:t>
            </w:r>
          </w:p>
        </w:tc>
      </w:tr>
      <w:tr>
        <w:trPr>
          <w:trHeight w:val="153"/>
        </w:trPr>
        <w:tc>
          <w:tcPr>
            <w:tcW w:w="5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1,809</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1,653</w:t>
            </w:r>
          </w:p>
        </w:tc>
      </w:tr>
      <w:tr>
        <w:trPr>
          <w:trHeight w:val="155"/>
        </w:trPr>
        <w:tc>
          <w:tcPr>
            <w:tcW w:w="5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161</w:t>
            </w:r>
          </w:p>
        </w:tc>
        <w:tc>
          <w:tcPr>
            <w:tcW w:w="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131</w:t>
            </w:r>
          </w:p>
        </w:tc>
      </w:tr>
      <w:tr>
        <w:trPr>
          <w:trHeight w:val="140"/>
        </w:trPr>
        <w:tc>
          <w:tcPr>
            <w:tcW w:w="5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5,638</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6,216</w:t>
            </w:r>
          </w:p>
        </w:tc>
      </w:tr>
      <w:tr>
        <w:trPr>
          <w:trHeight w:val="153"/>
        </w:trPr>
        <w:tc>
          <w:tcPr>
            <w:tcW w:w="5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8,604</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8,605</w:t>
            </w:r>
          </w:p>
        </w:tc>
      </w:tr>
      <w:tr>
        <w:trPr>
          <w:trHeight w:val="155"/>
        </w:trPr>
        <w:tc>
          <w:tcPr>
            <w:tcW w:w="5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5,033</w:t>
            </w:r>
          </w:p>
        </w:tc>
        <w:tc>
          <w:tcPr>
            <w:tcW w:w="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5,140</w:t>
            </w:r>
          </w:p>
        </w:tc>
      </w:tr>
      <w:tr>
        <w:trPr>
          <w:trHeight w:val="142"/>
        </w:trPr>
        <w:tc>
          <w:tcPr>
            <w:tcW w:w="5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19,275</w:t>
            </w:r>
          </w:p>
        </w:tc>
        <w:tc>
          <w:tcPr>
            <w:tcW w:w="80" w:type="dxa"/>
            <w:vAlign w:val="bottom"/>
          </w:tcPr>
          <w:p>
            <w:pPr>
              <w:spacing w:after="0"/>
              <w:rPr>
                <w:sz w:val="12"/>
                <w:szCs w:val="12"/>
                <w:color w:val="auto"/>
              </w:rPr>
            </w:pPr>
          </w:p>
        </w:tc>
        <w:tc>
          <w:tcPr>
            <w:tcW w:w="5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19,961</w:t>
            </w: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-2125345</wp:posOffset>
            </wp:positionH>
            <wp:positionV relativeFrom="paragraph">
              <wp:posOffset>-908050</wp:posOffset>
            </wp:positionV>
            <wp:extent cx="7166610" cy="971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6610" cy="97155"/>
                    </a:xfrm>
                    <a:prstGeom prst="rect">
                      <a:avLst/>
                    </a:prstGeom>
                    <a:noFill/>
                  </pic:spPr>
                </pic:pic>
              </a:graphicData>
            </a:graphic>
          </wp:anchor>
        </w:drawing>
        <w:drawing>
          <wp:anchor simplePos="0" relativeHeight="251657728" behindDoc="1" locked="0" layoutInCell="0" allowOverlap="1">
            <wp:simplePos x="0" y="0"/>
            <wp:positionH relativeFrom="column">
              <wp:posOffset>-2125345</wp:posOffset>
            </wp:positionH>
            <wp:positionV relativeFrom="paragraph">
              <wp:posOffset>-713740</wp:posOffset>
            </wp:positionV>
            <wp:extent cx="7166610" cy="971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6610" cy="97155"/>
                    </a:xfrm>
                    <a:prstGeom prst="rect">
                      <a:avLst/>
                    </a:prstGeom>
                    <a:noFill/>
                  </pic:spPr>
                </pic:pic>
              </a:graphicData>
            </a:graphic>
          </wp:anchor>
        </w:drawing>
        <w:drawing>
          <wp:anchor simplePos="0" relativeHeight="251657728" behindDoc="1" locked="0" layoutInCell="0" allowOverlap="1">
            <wp:simplePos x="0" y="0"/>
            <wp:positionH relativeFrom="column">
              <wp:posOffset>-2125345</wp:posOffset>
            </wp:positionH>
            <wp:positionV relativeFrom="paragraph">
              <wp:posOffset>-519430</wp:posOffset>
            </wp:positionV>
            <wp:extent cx="7166610" cy="971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6610" cy="97155"/>
                    </a:xfrm>
                    <a:prstGeom prst="rect">
                      <a:avLst/>
                    </a:prstGeom>
                    <a:noFill/>
                  </pic:spPr>
                </pic:pic>
              </a:graphicData>
            </a:graphic>
          </wp:anchor>
        </w:drawing>
        <w:drawing>
          <wp:anchor simplePos="0" relativeHeight="251657728" behindDoc="1" locked="0" layoutInCell="0" allowOverlap="1">
            <wp:simplePos x="0" y="0"/>
            <wp:positionH relativeFrom="column">
              <wp:posOffset>-2125345</wp:posOffset>
            </wp:positionH>
            <wp:positionV relativeFrom="paragraph">
              <wp:posOffset>-319405</wp:posOffset>
            </wp:positionV>
            <wp:extent cx="7166610" cy="97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6610" cy="97155"/>
                    </a:xfrm>
                    <a:prstGeom prst="rect">
                      <a:avLst/>
                    </a:prstGeom>
                    <a:noFill/>
                  </pic:spPr>
                </pic:pic>
              </a:graphicData>
            </a:graphic>
          </wp:anchor>
        </w:drawing>
        <w:drawing>
          <wp:anchor simplePos="0" relativeHeight="251657728" behindDoc="1" locked="0" layoutInCell="0" allowOverlap="1">
            <wp:simplePos x="0" y="0"/>
            <wp:positionH relativeFrom="column">
              <wp:posOffset>-2125345</wp:posOffset>
            </wp:positionH>
            <wp:positionV relativeFrom="paragraph">
              <wp:posOffset>-125095</wp:posOffset>
            </wp:positionV>
            <wp:extent cx="7166610" cy="1143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6610" cy="114300"/>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-2125345</wp:posOffset>
            </wp:positionH>
            <wp:positionV relativeFrom="paragraph">
              <wp:posOffset>-83185</wp:posOffset>
            </wp:positionV>
            <wp:extent cx="7166610" cy="971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6610" cy="97155"/>
                    </a:xfrm>
                    <a:prstGeom prst="rect">
                      <a:avLst/>
                    </a:prstGeom>
                    <a:noFill/>
                  </pic:spPr>
                </pic:pic>
              </a:graphicData>
            </a:graphic>
          </wp:anchor>
        </w:drawing>
      </w:r>
    </w:p>
    <w:p>
      <w:pPr>
        <w:spacing w:after="0" w:line="21" w:lineRule="exact"/>
        <w:rPr>
          <w:sz w:val="20"/>
          <w:szCs w:val="20"/>
          <w:color w:val="auto"/>
        </w:rPr>
      </w:pPr>
    </w:p>
    <w:p>
      <w:pPr>
        <w:sectPr>
          <w:pgSz w:w="11900" w:h="16838" w:orient="portrait"/>
          <w:cols w:equalWidth="0" w:num="2">
            <w:col w:w="2620" w:space="720"/>
            <w:col w:w="7940"/>
          </w:cols>
          <w:pgMar w:left="300" w:top="800" w:right="319" w:bottom="1440" w:gutter="0" w:footer="0" w:header="0"/>
          <w:type w:val="continuous"/>
        </w:sectPr>
      </w:pPr>
    </w:p>
    <w:tbl>
      <w:tblPr>
        <w:tblLayout w:type="fixed"/>
        <w:tblInd w:w="0" w:type="dxa"/>
        <w:tblCellMar>
          <w:top w:w="0" w:type="dxa"/>
          <w:left w:w="0" w:type="dxa"/>
          <w:bottom w:w="0" w:type="dxa"/>
          <w:right w:w="0" w:type="dxa"/>
        </w:tblCellMar>
      </w:tblPr>
      <w:tr>
        <w:trPr>
          <w:trHeight w:val="153"/>
        </w:trPr>
        <w:tc>
          <w:tcPr>
            <w:tcW w:w="8320" w:type="dxa"/>
            <w:vAlign w:val="bottom"/>
          </w:tcPr>
          <w:p>
            <w:pPr>
              <w:spacing w:after="0"/>
              <w:rPr>
                <w:sz w:val="20"/>
                <w:szCs w:val="20"/>
                <w:color w:val="auto"/>
              </w:rPr>
            </w:pPr>
            <w:r>
              <w:rPr>
                <w:rFonts w:ascii="Times New Roman" w:cs="Times New Roman" w:eastAsia="Times New Roman" w:hAnsi="Times New Roman"/>
                <w:sz w:val="12"/>
                <w:szCs w:val="12"/>
                <w:color w:val="auto"/>
              </w:rPr>
              <w:t>Current liabilities (accounts payable and accrued and other liabilities)</w:t>
            </w:r>
          </w:p>
        </w:tc>
        <w:tc>
          <w:tcPr>
            <w:tcW w:w="56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2,370</w:t>
            </w:r>
          </w:p>
        </w:tc>
        <w:tc>
          <w:tcPr>
            <w:tcW w:w="80" w:type="dxa"/>
            <w:vAlign w:val="bottom"/>
          </w:tcPr>
          <w:p>
            <w:pPr>
              <w:spacing w:after="0"/>
              <w:rPr>
                <w:sz w:val="13"/>
                <w:szCs w:val="13"/>
                <w:color w:val="auto"/>
              </w:rPr>
            </w:pPr>
          </w:p>
        </w:tc>
        <w:tc>
          <w:tcPr>
            <w:tcW w:w="56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2,273</w:t>
            </w:r>
          </w:p>
        </w:tc>
      </w:tr>
      <w:tr>
        <w:trPr>
          <w:trHeight w:val="153"/>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portion of long-term debt, net</w:t>
            </w:r>
          </w:p>
        </w:tc>
        <w:tc>
          <w:tcPr>
            <w:tcW w:w="5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497</w:t>
            </w:r>
          </w:p>
        </w:tc>
      </w:tr>
      <w:tr>
        <w:trPr>
          <w:trHeight w:val="153"/>
        </w:trPr>
        <w:tc>
          <w:tcPr>
            <w:tcW w:w="8320" w:type="dxa"/>
            <w:vAlign w:val="bottom"/>
          </w:tcPr>
          <w:p>
            <w:pPr>
              <w:spacing w:after="0"/>
              <w:rPr>
                <w:sz w:val="20"/>
                <w:szCs w:val="20"/>
                <w:color w:val="auto"/>
              </w:rPr>
            </w:pPr>
            <w:r>
              <w:rPr>
                <w:rFonts w:ascii="Times New Roman" w:cs="Times New Roman" w:eastAsia="Times New Roman" w:hAnsi="Times New Roman"/>
                <w:sz w:val="12"/>
                <w:szCs w:val="12"/>
                <w:color w:val="auto"/>
              </w:rPr>
              <w:t>Long-term debt, net</w:t>
            </w:r>
          </w:p>
        </w:tc>
        <w:tc>
          <w:tcPr>
            <w:tcW w:w="5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5,064</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5,087</w:t>
            </w:r>
          </w:p>
        </w:tc>
      </w:tr>
      <w:tr>
        <w:trPr>
          <w:trHeight w:val="153"/>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liabilities</w:t>
            </w:r>
          </w:p>
        </w:tc>
        <w:tc>
          <w:tcPr>
            <w:tcW w:w="5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2,676</w:t>
            </w:r>
          </w:p>
        </w:tc>
        <w:tc>
          <w:tcPr>
            <w:tcW w:w="8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2,809</w:t>
            </w:r>
          </w:p>
        </w:tc>
      </w:tr>
      <w:tr>
        <w:trPr>
          <w:trHeight w:val="142"/>
        </w:trPr>
        <w:tc>
          <w:tcPr>
            <w:tcW w:w="83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2"/>
                <w:szCs w:val="12"/>
                <w:color w:val="auto"/>
              </w:rPr>
              <w:t>Total liabilities</w:t>
            </w:r>
          </w:p>
        </w:tc>
        <w:tc>
          <w:tcPr>
            <w:tcW w:w="5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10,110</w:t>
            </w:r>
          </w:p>
        </w:tc>
        <w:tc>
          <w:tcPr>
            <w:tcW w:w="8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10,666</w:t>
            </w:r>
          </w:p>
        </w:tc>
      </w:tr>
      <w:tr>
        <w:trPr>
          <w:trHeight w:val="142"/>
        </w:trPr>
        <w:tc>
          <w:tcPr>
            <w:tcW w:w="8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Total Westlake Corporation stockholders' equity</w:t>
            </w: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8,659</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8,792</w:t>
            </w:r>
          </w:p>
        </w:tc>
      </w:tr>
      <w:tr>
        <w:trPr>
          <w:trHeight w:val="153"/>
        </w:trPr>
        <w:tc>
          <w:tcPr>
            <w:tcW w:w="8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Noncontrolling interests</w:t>
            </w:r>
          </w:p>
        </w:tc>
        <w:tc>
          <w:tcPr>
            <w:tcW w:w="5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506</w:t>
            </w: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503</w:t>
            </w:r>
          </w:p>
        </w:tc>
      </w:tr>
      <w:tr>
        <w:trPr>
          <w:trHeight w:val="142"/>
        </w:trPr>
        <w:tc>
          <w:tcPr>
            <w:tcW w:w="8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Total equity</w:t>
            </w:r>
          </w:p>
        </w:tc>
        <w:tc>
          <w:tcPr>
            <w:tcW w:w="5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9,165</w:t>
            </w:r>
          </w:p>
        </w:tc>
        <w:tc>
          <w:tcPr>
            <w:tcW w:w="8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9,295</w:t>
            </w:r>
          </w:p>
        </w:tc>
      </w:tr>
      <w:tr>
        <w:trPr>
          <w:trHeight w:val="142"/>
        </w:trPr>
        <w:tc>
          <w:tcPr>
            <w:tcW w:w="8320" w:type="dxa"/>
            <w:vAlign w:val="bottom"/>
          </w:tcPr>
          <w:p>
            <w:pPr>
              <w:ind w:left="440"/>
              <w:spacing w:after="0"/>
              <w:rPr>
                <w:sz w:val="20"/>
                <w:szCs w:val="20"/>
                <w:color w:val="auto"/>
              </w:rPr>
            </w:pPr>
            <w:r>
              <w:rPr>
                <w:rFonts w:ascii="Times New Roman" w:cs="Times New Roman" w:eastAsia="Times New Roman" w:hAnsi="Times New Roman"/>
                <w:sz w:val="12"/>
                <w:szCs w:val="12"/>
                <w:b w:val="1"/>
                <w:bCs w:val="1"/>
                <w:color w:val="auto"/>
              </w:rPr>
              <w:t>Total liabilities and equity</w:t>
            </w:r>
          </w:p>
        </w:tc>
        <w:tc>
          <w:tcPr>
            <w:tcW w:w="5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19,275</w:t>
            </w:r>
          </w:p>
        </w:tc>
        <w:tc>
          <w:tcPr>
            <w:tcW w:w="80" w:type="dxa"/>
            <w:vAlign w:val="bottom"/>
          </w:tcPr>
          <w:p>
            <w:pPr>
              <w:spacing w:after="0"/>
              <w:rPr>
                <w:sz w:val="12"/>
                <w:szCs w:val="12"/>
                <w:color w:val="auto"/>
              </w:rPr>
            </w:pPr>
          </w:p>
        </w:tc>
        <w:tc>
          <w:tcPr>
            <w:tcW w:w="5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19,961</w:t>
            </w:r>
          </w:p>
        </w:tc>
      </w:tr>
      <w:tr>
        <w:trPr>
          <w:trHeight w:val="20"/>
        </w:trPr>
        <w:tc>
          <w:tcPr>
            <w:tcW w:w="8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vii</w:t>
      </w:r>
    </w:p>
    <w:p>
      <w:pPr>
        <w:sectPr>
          <w:pgSz w:w="11900" w:h="16838" w:orient="portrait"/>
          <w:cols w:equalWidth="0" w:num="1">
            <w:col w:w="11280"/>
          </w:cols>
          <w:pgMar w:left="300" w:top="800" w:right="319" w:bottom="1440" w:gutter="0" w:footer="0" w:header="0"/>
          <w:type w:val="continuous"/>
        </w:sectPr>
      </w:pPr>
    </w:p>
    <w:bookmarkStart w:id="11" w:name="page12"/>
    <w:bookmarkEnd w:id="11"/>
    <w:p>
      <w:pPr>
        <w:ind w:left="4840"/>
        <w:spacing w:after="0"/>
        <w:rPr>
          <w:sz w:val="20"/>
          <w:szCs w:val="20"/>
          <w:color w:val="auto"/>
        </w:rPr>
      </w:pPr>
      <w:r>
        <w:rPr>
          <w:rFonts w:ascii="Times New Roman" w:cs="Times New Roman" w:eastAsia="Times New Roman" w:hAnsi="Times New Roman"/>
          <w:sz w:val="12"/>
          <w:szCs w:val="12"/>
          <w:b w:val="1"/>
          <w:bCs w:val="1"/>
          <w:color w:val="auto"/>
        </w:rPr>
        <w:t>WESTLAKE CORPORATION</w:t>
      </w:r>
    </w:p>
    <w:p>
      <w:pPr>
        <w:spacing w:after="0" w:line="11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320" w:type="dxa"/>
            <w:vAlign w:val="bottom"/>
          </w:tcPr>
          <w:p>
            <w:pPr>
              <w:spacing w:after="0"/>
              <w:rPr>
                <w:sz w:val="11"/>
                <w:szCs w:val="11"/>
                <w:color w:val="auto"/>
              </w:rPr>
            </w:pPr>
          </w:p>
        </w:tc>
        <w:tc>
          <w:tcPr>
            <w:tcW w:w="2480" w:type="dxa"/>
            <w:vAlign w:val="bottom"/>
            <w:tcBorders>
              <w:bottom w:val="single" w:sz="8" w:color="auto"/>
            </w:tcBorders>
            <w:gridSpan w:val="4"/>
          </w:tcPr>
          <w:p>
            <w:pPr>
              <w:jc w:val="right"/>
              <w:ind w:right="224"/>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c>
          <w:tcPr>
            <w:tcW w:w="480" w:type="dxa"/>
            <w:vAlign w:val="bottom"/>
            <w:tcBorders>
              <w:bottom w:val="single" w:sz="8" w:color="auto"/>
            </w:tcBorders>
          </w:tcPr>
          <w:p>
            <w:pPr>
              <w:spacing w:after="0"/>
              <w:rPr>
                <w:sz w:val="11"/>
                <w:szCs w:val="11"/>
                <w:color w:val="auto"/>
              </w:rPr>
            </w:pPr>
          </w:p>
        </w:tc>
      </w:tr>
      <w:tr>
        <w:trPr>
          <w:trHeight w:val="128"/>
        </w:trPr>
        <w:tc>
          <w:tcPr>
            <w:tcW w:w="8320" w:type="dxa"/>
            <w:vAlign w:val="bottom"/>
          </w:tcPr>
          <w:p>
            <w:pPr>
              <w:spacing w:after="0"/>
              <w:rPr>
                <w:sz w:val="11"/>
                <w:szCs w:val="11"/>
                <w:color w:val="auto"/>
              </w:rPr>
            </w:pPr>
          </w:p>
        </w:tc>
        <w:tc>
          <w:tcPr>
            <w:tcW w:w="92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0"/>
                <w:szCs w:val="10"/>
                <w:b w:val="1"/>
                <w:bCs w:val="1"/>
                <w:color w:val="auto"/>
              </w:rPr>
              <w:t>2026</w:t>
            </w:r>
          </w:p>
        </w:tc>
        <w:tc>
          <w:tcPr>
            <w:tcW w:w="5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0"/>
                <w:szCs w:val="10"/>
                <w:b w:val="1"/>
                <w:bCs w:val="1"/>
                <w:color w:val="auto"/>
              </w:rPr>
              <w:t>2025</w:t>
            </w:r>
          </w:p>
        </w:tc>
        <w:tc>
          <w:tcPr>
            <w:tcW w:w="480" w:type="dxa"/>
            <w:vAlign w:val="bottom"/>
            <w:tcBorders>
              <w:bottom w:val="single" w:sz="8" w:color="auto"/>
            </w:tcBorders>
          </w:tcPr>
          <w:p>
            <w:pPr>
              <w:spacing w:after="0"/>
              <w:rPr>
                <w:sz w:val="11"/>
                <w:szCs w:val="11"/>
                <w:color w:val="auto"/>
              </w:rPr>
            </w:pPr>
          </w:p>
        </w:tc>
      </w:tr>
      <w:tr>
        <w:trPr>
          <w:trHeight w:val="147"/>
        </w:trPr>
        <w:tc>
          <w:tcPr>
            <w:tcW w:w="8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60" w:type="dxa"/>
            <w:vAlign w:val="bottom"/>
            <w:gridSpan w:val="3"/>
          </w:tcPr>
          <w:p>
            <w:pPr>
              <w:jc w:val="right"/>
              <w:ind w:right="484"/>
              <w:spacing w:after="0"/>
              <w:rPr>
                <w:sz w:val="20"/>
                <w:szCs w:val="20"/>
                <w:color w:val="auto"/>
              </w:rPr>
            </w:pPr>
            <w:r>
              <w:rPr>
                <w:rFonts w:ascii="Times New Roman" w:cs="Times New Roman" w:eastAsia="Times New Roman" w:hAnsi="Times New Roman"/>
                <w:sz w:val="10"/>
                <w:szCs w:val="10"/>
                <w:b w:val="1"/>
                <w:bCs w:val="1"/>
                <w:color w:val="auto"/>
              </w:rPr>
              <w:t>(in millions of dollars)</w:t>
            </w:r>
          </w:p>
        </w:tc>
        <w:tc>
          <w:tcPr>
            <w:tcW w:w="480" w:type="dxa"/>
            <w:vAlign w:val="bottom"/>
          </w:tcPr>
          <w:p>
            <w:pPr>
              <w:spacing w:after="0"/>
              <w:rPr>
                <w:sz w:val="12"/>
                <w:szCs w:val="12"/>
                <w:color w:val="auto"/>
              </w:rPr>
            </w:pPr>
          </w:p>
        </w:tc>
      </w:tr>
      <w:tr>
        <w:trPr>
          <w:trHeight w:val="162"/>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r>
      <w:tr>
        <w:trPr>
          <w:trHeight w:val="153"/>
        </w:trPr>
        <w:tc>
          <w:tcPr>
            <w:tcW w:w="8320" w:type="dxa"/>
            <w:vAlign w:val="bottom"/>
          </w:tcPr>
          <w:p>
            <w:pPr>
              <w:spacing w:after="0"/>
              <w:rPr>
                <w:sz w:val="20"/>
                <w:szCs w:val="20"/>
                <w:color w:val="auto"/>
              </w:rPr>
            </w:pPr>
            <w:r>
              <w:rPr>
                <w:rFonts w:ascii="Times New Roman" w:cs="Times New Roman" w:eastAsia="Times New Roman" w:hAnsi="Times New Roman"/>
                <w:sz w:val="12"/>
                <w:szCs w:val="12"/>
                <w:color w:val="auto"/>
              </w:rPr>
              <w:t>Net income (loss)</w:t>
            </w:r>
          </w:p>
        </w:tc>
        <w:tc>
          <w:tcPr>
            <w:tcW w:w="920" w:type="dxa"/>
            <w:vAlign w:val="bottom"/>
          </w:tcPr>
          <w:p>
            <w:pPr>
              <w:jc w:val="right"/>
              <w:ind w:right="786"/>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w:t>
            </w:r>
          </w:p>
        </w:tc>
        <w:tc>
          <w:tcPr>
            <w:tcW w:w="80" w:type="dxa"/>
            <w:vAlign w:val="bottom"/>
          </w:tcPr>
          <w:p>
            <w:pPr>
              <w:spacing w:after="0"/>
              <w:rPr>
                <w:sz w:val="13"/>
                <w:szCs w:val="13"/>
                <w:color w:val="auto"/>
              </w:rPr>
            </w:pPr>
          </w:p>
        </w:tc>
        <w:tc>
          <w:tcPr>
            <w:tcW w:w="960" w:type="dxa"/>
            <w:vAlign w:val="bottom"/>
          </w:tcPr>
          <w:p>
            <w:pPr>
              <w:jc w:val="right"/>
              <w:ind w:right="824"/>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(938)</w:t>
            </w:r>
          </w:p>
        </w:tc>
      </w:tr>
      <w:tr>
        <w:trPr>
          <w:trHeight w:val="153"/>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Adjustments to reconcile net income (loss) to net cash provided by operating activities</w:t>
            </w: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r>
      <w:tr>
        <w:trPr>
          <w:trHeight w:val="153"/>
        </w:trPr>
        <w:tc>
          <w:tcPr>
            <w:tcW w:w="83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9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860</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881</w:t>
            </w:r>
          </w:p>
        </w:tc>
      </w:tr>
      <w:tr>
        <w:trPr>
          <w:trHeight w:val="153"/>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Deferred income taxes</w:t>
            </w: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w:t>
            </w:r>
          </w:p>
        </w:tc>
      </w:tr>
      <w:tr>
        <w:trPr>
          <w:trHeight w:val="153"/>
        </w:trPr>
        <w:tc>
          <w:tcPr>
            <w:tcW w:w="83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Net loss on disposition and others</w:t>
            </w:r>
          </w:p>
        </w:tc>
        <w:tc>
          <w:tcPr>
            <w:tcW w:w="9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w:t>
            </w:r>
          </w:p>
        </w:tc>
      </w:tr>
      <w:tr>
        <w:trPr>
          <w:trHeight w:val="153"/>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Impairment of goodwill</w:t>
            </w:r>
          </w:p>
        </w:tc>
        <w:tc>
          <w:tcPr>
            <w:tcW w:w="9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727</w:t>
            </w:r>
          </w:p>
        </w:tc>
      </w:tr>
      <w:tr>
        <w:trPr>
          <w:trHeight w:val="153"/>
        </w:trPr>
        <w:tc>
          <w:tcPr>
            <w:tcW w:w="8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Other balance sheet changes</w:t>
            </w:r>
          </w:p>
        </w:tc>
        <w:tc>
          <w:tcPr>
            <w:tcW w:w="9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(368)</w:t>
            </w: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(546)</w:t>
            </w:r>
          </w:p>
        </w:tc>
      </w:tr>
      <w:tr>
        <w:trPr>
          <w:trHeight w:val="142"/>
        </w:trPr>
        <w:tc>
          <w:tcPr>
            <w:tcW w:w="8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Net cash provided by operating activities</w:t>
            </w:r>
          </w:p>
        </w:tc>
        <w:tc>
          <w:tcPr>
            <w:tcW w:w="9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619</w:t>
            </w:r>
          </w:p>
        </w:tc>
        <w:tc>
          <w:tcPr>
            <w:tcW w:w="80" w:type="dxa"/>
            <w:vAlign w:val="bottom"/>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240</w:t>
            </w:r>
          </w:p>
        </w:tc>
      </w:tr>
      <w:tr>
        <w:trPr>
          <w:trHeight w:val="133"/>
        </w:trPr>
        <w:tc>
          <w:tcPr>
            <w:tcW w:w="832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53"/>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Acquisitions of businesses, net of cash acquired</w:t>
            </w: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(171)</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320" w:type="dxa"/>
            <w:vAlign w:val="bottom"/>
          </w:tcPr>
          <w:p>
            <w:pPr>
              <w:spacing w:after="0"/>
              <w:rPr>
                <w:sz w:val="20"/>
                <w:szCs w:val="20"/>
                <w:color w:val="auto"/>
              </w:rPr>
            </w:pPr>
            <w:r>
              <w:rPr>
                <w:rFonts w:ascii="Times New Roman" w:cs="Times New Roman" w:eastAsia="Times New Roman" w:hAnsi="Times New Roman"/>
                <w:sz w:val="12"/>
                <w:szCs w:val="12"/>
                <w:color w:val="auto"/>
              </w:rPr>
              <w:t>Additions to investments in unconsolidated subsidiaries</w:t>
            </w:r>
          </w:p>
        </w:tc>
        <w:tc>
          <w:tcPr>
            <w:tcW w:w="9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r>
      <w:tr>
        <w:trPr>
          <w:trHeight w:val="153"/>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Additions to property, plant and equipment</w:t>
            </w: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(591)</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(754)</w:t>
            </w:r>
          </w:p>
        </w:tc>
      </w:tr>
      <w:tr>
        <w:trPr>
          <w:trHeight w:val="153"/>
        </w:trPr>
        <w:tc>
          <w:tcPr>
            <w:tcW w:w="8320" w:type="dxa"/>
            <w:vAlign w:val="bottom"/>
          </w:tcPr>
          <w:p>
            <w:pPr>
              <w:spacing w:after="0"/>
              <w:rPr>
                <w:sz w:val="20"/>
                <w:szCs w:val="20"/>
                <w:color w:val="auto"/>
              </w:rPr>
            </w:pPr>
            <w:r>
              <w:rPr>
                <w:rFonts w:ascii="Times New Roman" w:cs="Times New Roman" w:eastAsia="Times New Roman" w:hAnsi="Times New Roman"/>
                <w:sz w:val="12"/>
                <w:szCs w:val="12"/>
                <w:color w:val="auto"/>
              </w:rPr>
              <w:t>Payments for settlement of foreign currency swap agreements</w:t>
            </w:r>
          </w:p>
        </w:tc>
        <w:tc>
          <w:tcPr>
            <w:tcW w:w="9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settlement of foreign currency swap agreements</w:t>
            </w: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32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maturities and paydown of available-for-sale securities</w:t>
            </w:r>
          </w:p>
        </w:tc>
        <w:tc>
          <w:tcPr>
            <w:tcW w:w="9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Purchase of available-for-sale securities</w:t>
            </w: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(198)</w:t>
            </w:r>
          </w:p>
        </w:tc>
      </w:tr>
      <w:tr>
        <w:trPr>
          <w:trHeight w:val="153"/>
        </w:trPr>
        <w:tc>
          <w:tcPr>
            <w:tcW w:w="8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net</w:t>
            </w:r>
          </w:p>
        </w:tc>
        <w:tc>
          <w:tcPr>
            <w:tcW w:w="9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w:t>
            </w:r>
          </w:p>
        </w:tc>
      </w:tr>
      <w:tr>
        <w:trPr>
          <w:trHeight w:val="142"/>
        </w:trPr>
        <w:tc>
          <w:tcPr>
            <w:tcW w:w="8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Net cash used for investing activities</w:t>
            </w:r>
          </w:p>
        </w:tc>
        <w:tc>
          <w:tcPr>
            <w:tcW w:w="9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(779)</w:t>
            </w:r>
          </w:p>
        </w:tc>
        <w:tc>
          <w:tcPr>
            <w:tcW w:w="80" w:type="dxa"/>
            <w:vAlign w:val="bottom"/>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(968)</w:t>
            </w:r>
          </w:p>
        </w:tc>
      </w:tr>
      <w:tr>
        <w:trPr>
          <w:trHeight w:val="133"/>
        </w:trPr>
        <w:tc>
          <w:tcPr>
            <w:tcW w:w="832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53"/>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Distributions to noncontrolling interests</w:t>
            </w: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w:t>
            </w:r>
          </w:p>
        </w:tc>
      </w:tr>
      <w:tr>
        <w:trPr>
          <w:trHeight w:val="153"/>
        </w:trPr>
        <w:tc>
          <w:tcPr>
            <w:tcW w:w="8320" w:type="dxa"/>
            <w:vAlign w:val="bottom"/>
          </w:tcPr>
          <w:p>
            <w:pPr>
              <w:spacing w:after="0"/>
              <w:rPr>
                <w:sz w:val="20"/>
                <w:szCs w:val="20"/>
                <w:color w:val="auto"/>
              </w:rPr>
            </w:pPr>
            <w:r>
              <w:rPr>
                <w:rFonts w:ascii="Times New Roman" w:cs="Times New Roman" w:eastAsia="Times New Roman" w:hAnsi="Times New Roman"/>
                <w:sz w:val="12"/>
                <w:szCs w:val="12"/>
                <w:color w:val="auto"/>
              </w:rPr>
              <w:t>Dividends paid</w:t>
            </w:r>
          </w:p>
        </w:tc>
        <w:tc>
          <w:tcPr>
            <w:tcW w:w="9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(204)</w:t>
            </w:r>
          </w:p>
        </w:tc>
      </w:tr>
      <w:tr>
        <w:trPr>
          <w:trHeight w:val="153"/>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Repayment of senior notes</w:t>
            </w: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(496)</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320" w:type="dxa"/>
            <w:vAlign w:val="bottom"/>
          </w:tcPr>
          <w:p>
            <w:pPr>
              <w:spacing w:after="0"/>
              <w:rPr>
                <w:sz w:val="20"/>
                <w:szCs w:val="20"/>
                <w:color w:val="auto"/>
              </w:rPr>
            </w:pPr>
            <w:r>
              <w:rPr>
                <w:rFonts w:ascii="Times New Roman" w:cs="Times New Roman" w:eastAsia="Times New Roman" w:hAnsi="Times New Roman"/>
                <w:sz w:val="12"/>
                <w:szCs w:val="12"/>
                <w:color w:val="auto"/>
              </w:rPr>
              <w:t>Repurchase of common stock for treasury</w:t>
            </w:r>
          </w:p>
        </w:tc>
        <w:tc>
          <w:tcPr>
            <w:tcW w:w="9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r>
      <w:tr>
        <w:trPr>
          <w:trHeight w:val="153"/>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net</w:t>
            </w:r>
          </w:p>
        </w:tc>
        <w:tc>
          <w:tcPr>
            <w:tcW w:w="92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80" w:type="dxa"/>
            <w:vAlign w:val="bottom"/>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r>
      <w:tr>
        <w:trPr>
          <w:trHeight w:val="142"/>
        </w:trPr>
        <w:tc>
          <w:tcPr>
            <w:tcW w:w="83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2"/>
                <w:szCs w:val="12"/>
                <w:color w:val="auto"/>
              </w:rPr>
              <w:t>Net cash used for financing activities</w:t>
            </w:r>
          </w:p>
        </w:tc>
        <w:tc>
          <w:tcPr>
            <w:tcW w:w="9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(789)</w:t>
            </w:r>
          </w:p>
        </w:tc>
        <w:tc>
          <w:tcPr>
            <w:tcW w:w="8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(285)</w:t>
            </w:r>
          </w:p>
        </w:tc>
      </w:tr>
      <w:tr>
        <w:trPr>
          <w:trHeight w:val="142"/>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Effect of exchange rate changes on cash, cash equivalents and restricted cash</w:t>
            </w:r>
          </w:p>
        </w:tc>
        <w:tc>
          <w:tcPr>
            <w:tcW w:w="9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r>
      <w:tr>
        <w:trPr>
          <w:trHeight w:val="153"/>
        </w:trPr>
        <w:tc>
          <w:tcPr>
            <w:tcW w:w="8320" w:type="dxa"/>
            <w:vAlign w:val="bottom"/>
          </w:tcPr>
          <w:p>
            <w:pPr>
              <w:spacing w:after="0"/>
              <w:rPr>
                <w:sz w:val="20"/>
                <w:szCs w:val="20"/>
                <w:color w:val="auto"/>
              </w:rPr>
            </w:pPr>
            <w:r>
              <w:rPr>
                <w:rFonts w:ascii="Times New Roman" w:cs="Times New Roman" w:eastAsia="Times New Roman" w:hAnsi="Times New Roman"/>
                <w:sz w:val="12"/>
                <w:szCs w:val="12"/>
                <w:color w:val="auto"/>
              </w:rPr>
              <w:t>Net decrease in cash, cash equivalents and restricted cash</w:t>
            </w:r>
          </w:p>
        </w:tc>
        <w:tc>
          <w:tcPr>
            <w:tcW w:w="9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(959)</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(992)</w:t>
            </w:r>
          </w:p>
        </w:tc>
      </w:tr>
      <w:tr>
        <w:trPr>
          <w:trHeight w:val="153"/>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cash equivalents and restricted cash at beginning of period</w:t>
            </w:r>
          </w:p>
        </w:tc>
        <w:tc>
          <w:tcPr>
            <w:tcW w:w="92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2,740</w:t>
            </w:r>
          </w:p>
        </w:tc>
        <w:tc>
          <w:tcPr>
            <w:tcW w:w="80" w:type="dxa"/>
            <w:vAlign w:val="bottom"/>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2,935</w:t>
            </w:r>
          </w:p>
        </w:tc>
      </w:tr>
      <w:tr>
        <w:trPr>
          <w:trHeight w:val="142"/>
        </w:trPr>
        <w:tc>
          <w:tcPr>
            <w:tcW w:w="8320" w:type="dxa"/>
            <w:vAlign w:val="bottom"/>
          </w:tcPr>
          <w:p>
            <w:pPr>
              <w:spacing w:after="0"/>
              <w:rPr>
                <w:sz w:val="20"/>
                <w:szCs w:val="20"/>
                <w:color w:val="auto"/>
              </w:rPr>
            </w:pPr>
            <w:r>
              <w:rPr>
                <w:rFonts w:ascii="Times New Roman" w:cs="Times New Roman" w:eastAsia="Times New Roman" w:hAnsi="Times New Roman"/>
                <w:sz w:val="12"/>
                <w:szCs w:val="12"/>
                <w:color w:val="auto"/>
              </w:rPr>
              <w:t>Cash, cash equivalents and restricted cash at end of period</w:t>
            </w:r>
          </w:p>
        </w:tc>
        <w:tc>
          <w:tcPr>
            <w:tcW w:w="920" w:type="dxa"/>
            <w:vAlign w:val="bottom"/>
            <w:tcBorders>
              <w:bottom w:val="single" w:sz="8" w:color="auto"/>
            </w:tcBorders>
          </w:tcPr>
          <w:p>
            <w:pPr>
              <w:jc w:val="right"/>
              <w:ind w:right="786"/>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1,781</w:t>
            </w:r>
          </w:p>
        </w:tc>
        <w:tc>
          <w:tcPr>
            <w:tcW w:w="80" w:type="dxa"/>
            <w:vAlign w:val="bottom"/>
          </w:tcPr>
          <w:p>
            <w:pPr>
              <w:spacing w:after="0"/>
              <w:rPr>
                <w:sz w:val="12"/>
                <w:szCs w:val="12"/>
                <w:color w:val="auto"/>
              </w:rPr>
            </w:pPr>
          </w:p>
        </w:tc>
        <w:tc>
          <w:tcPr>
            <w:tcW w:w="960" w:type="dxa"/>
            <w:vAlign w:val="bottom"/>
            <w:tcBorders>
              <w:bottom w:val="single" w:sz="8" w:color="auto"/>
            </w:tcBorders>
          </w:tcPr>
          <w:p>
            <w:pPr>
              <w:jc w:val="right"/>
              <w:ind w:right="824"/>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1,943</w:t>
            </w:r>
          </w:p>
        </w:tc>
      </w:tr>
      <w:tr>
        <w:trPr>
          <w:trHeight w:val="20"/>
        </w:trPr>
        <w:tc>
          <w:tcPr>
            <w:tcW w:w="8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viii</w:t>
      </w:r>
    </w:p>
    <w:p>
      <w:pPr>
        <w:sectPr>
          <w:pgSz w:w="11900" w:h="16838" w:orient="portrait"/>
          <w:cols w:equalWidth="0" w:num="1">
            <w:col w:w="11280"/>
          </w:cols>
          <w:pgMar w:left="300" w:top="800" w:right="319" w:bottom="1440" w:gutter="0" w:footer="0" w:header="0"/>
        </w:sectPr>
      </w:pPr>
    </w:p>
    <w:bookmarkStart w:id="12" w:name="page13"/>
    <w:bookmarkEnd w:id="12"/>
    <w:p>
      <w:pPr>
        <w:ind w:left="4840"/>
        <w:spacing w:after="0"/>
        <w:rPr>
          <w:sz w:val="20"/>
          <w:szCs w:val="20"/>
          <w:color w:val="auto"/>
        </w:rPr>
      </w:pPr>
      <w:r>
        <w:rPr>
          <w:rFonts w:ascii="Times New Roman" w:cs="Times New Roman" w:eastAsia="Times New Roman" w:hAnsi="Times New Roman"/>
          <w:sz w:val="12"/>
          <w:szCs w:val="12"/>
          <w:b w:val="1"/>
          <w:bCs w:val="1"/>
          <w:color w:val="auto"/>
        </w:rPr>
        <w:t>WESTLAKE CORPORATION</w:t>
      </w:r>
    </w:p>
    <w:p>
      <w:pPr>
        <w:spacing w:after="0" w:line="11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2"/>
          <w:szCs w:val="12"/>
          <w:b w:val="1"/>
          <w:bCs w:val="1"/>
          <w:color w:val="auto"/>
        </w:rPr>
        <w:t>SEGMENT INFORMATION</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300" w:type="dxa"/>
            <w:vAlign w:val="bottom"/>
          </w:tcPr>
          <w:p>
            <w:pPr>
              <w:spacing w:after="0"/>
              <w:rPr>
                <w:sz w:val="11"/>
                <w:szCs w:val="11"/>
                <w:color w:val="auto"/>
              </w:rPr>
            </w:pPr>
          </w:p>
        </w:tc>
        <w:tc>
          <w:tcPr>
            <w:tcW w:w="2440" w:type="dxa"/>
            <w:vAlign w:val="bottom"/>
            <w:tcBorders>
              <w:bottom w:val="single" w:sz="8" w:color="auto"/>
            </w:tcBorders>
            <w:gridSpan w:val="4"/>
          </w:tcPr>
          <w:p>
            <w:pPr>
              <w:jc w:val="right"/>
              <w:ind w:right="167"/>
              <w:spacing w:after="0"/>
              <w:rPr>
                <w:sz w:val="20"/>
                <w:szCs w:val="20"/>
                <w:color w:val="auto"/>
              </w:rPr>
            </w:pPr>
            <w:r>
              <w:rPr>
                <w:rFonts w:ascii="Times New Roman" w:cs="Times New Roman" w:eastAsia="Times New Roman" w:hAnsi="Times New Roman"/>
                <w:sz w:val="10"/>
                <w:szCs w:val="10"/>
                <w:b w:val="1"/>
                <w:bCs w:val="1"/>
                <w:color w:val="auto"/>
              </w:rPr>
              <w:t>Three Months Ended September 30,</w:t>
            </w: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440" w:type="dxa"/>
            <w:vAlign w:val="bottom"/>
            <w:tcBorders>
              <w:bottom w:val="single" w:sz="8" w:color="auto"/>
            </w:tcBorders>
            <w:gridSpan w:val="4"/>
          </w:tcPr>
          <w:p>
            <w:pPr>
              <w:jc w:val="right"/>
              <w:ind w:right="701"/>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r>
      <w:tr>
        <w:trPr>
          <w:trHeight w:val="128"/>
        </w:trPr>
        <w:tc>
          <w:tcPr>
            <w:tcW w:w="5300" w:type="dxa"/>
            <w:vAlign w:val="bottom"/>
          </w:tcPr>
          <w:p>
            <w:pPr>
              <w:spacing w:after="0"/>
              <w:rPr>
                <w:sz w:val="11"/>
                <w:szCs w:val="11"/>
                <w:color w:val="auto"/>
              </w:rPr>
            </w:pPr>
          </w:p>
        </w:tc>
        <w:tc>
          <w:tcPr>
            <w:tcW w:w="96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0"/>
                <w:szCs w:val="10"/>
                <w:b w:val="1"/>
                <w:bCs w:val="1"/>
                <w:color w:val="auto"/>
              </w:rPr>
              <w:t>2026</w:t>
            </w: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0"/>
                <w:szCs w:val="10"/>
                <w:b w:val="1"/>
                <w:bCs w:val="1"/>
                <w:color w:val="auto"/>
              </w:rPr>
              <w:t>2025</w:t>
            </w: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0"/>
                <w:szCs w:val="10"/>
                <w:b w:val="1"/>
                <w:bCs w:val="1"/>
                <w:color w:val="auto"/>
              </w:rPr>
              <w:t>2026</w:t>
            </w: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0"/>
                <w:szCs w:val="10"/>
                <w:b w:val="1"/>
                <w:bCs w:val="1"/>
                <w:color w:val="auto"/>
              </w:rPr>
              <w:t>2025</w:t>
            </w:r>
          </w:p>
        </w:tc>
      </w:tr>
      <w:tr>
        <w:trPr>
          <w:trHeight w:val="147"/>
        </w:trPr>
        <w:tc>
          <w:tcPr>
            <w:tcW w:w="5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20" w:type="dxa"/>
            <w:vAlign w:val="bottom"/>
            <w:gridSpan w:val="3"/>
          </w:tcPr>
          <w:p>
            <w:pPr>
              <w:jc w:val="right"/>
              <w:ind w:right="66"/>
              <w:spacing w:after="0"/>
              <w:rPr>
                <w:sz w:val="20"/>
                <w:szCs w:val="20"/>
                <w:color w:val="auto"/>
              </w:rPr>
            </w:pPr>
            <w:r>
              <w:rPr>
                <w:rFonts w:ascii="Times New Roman" w:cs="Times New Roman" w:eastAsia="Times New Roman" w:hAnsi="Times New Roman"/>
                <w:sz w:val="10"/>
                <w:szCs w:val="10"/>
                <w:b w:val="1"/>
                <w:bCs w:val="1"/>
                <w:color w:val="auto"/>
              </w:rPr>
              <w:t>(in millions of dollars)</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62"/>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external sales</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53"/>
        </w:trPr>
        <w:tc>
          <w:tcPr>
            <w:tcW w:w="5300" w:type="dxa"/>
            <w:vAlign w:val="bottom"/>
          </w:tcPr>
          <w:p>
            <w:pPr>
              <w:spacing w:after="0"/>
              <w:rPr>
                <w:sz w:val="20"/>
                <w:szCs w:val="20"/>
                <w:color w:val="auto"/>
              </w:rPr>
            </w:pPr>
            <w:r>
              <w:rPr>
                <w:rFonts w:ascii="Times New Roman" w:cs="Times New Roman" w:eastAsia="Times New Roman" w:hAnsi="Times New Roman"/>
                <w:sz w:val="12"/>
                <w:szCs w:val="12"/>
                <w:color w:val="auto"/>
              </w:rPr>
              <w:t>Housing and Infrastructure Products</w:t>
            </w: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3"/>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Housing Products</w:t>
            </w:r>
          </w:p>
        </w:tc>
        <w:tc>
          <w:tcPr>
            <w:tcW w:w="960" w:type="dxa"/>
            <w:vAlign w:val="bottom"/>
            <w:shd w:val="clear" w:color="auto" w:fill="CCEEFF"/>
          </w:tcPr>
          <w:p>
            <w:pPr>
              <w:jc w:val="right"/>
              <w:ind w:right="847"/>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846</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807"/>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928</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2,645</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2,746</w:t>
            </w:r>
          </w:p>
        </w:tc>
      </w:tr>
      <w:tr>
        <w:trPr>
          <w:trHeight w:val="153"/>
        </w:trPr>
        <w:tc>
          <w:tcPr>
            <w:tcW w:w="5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Infrastructure Products</w:t>
            </w:r>
          </w:p>
        </w:tc>
        <w:tc>
          <w:tcPr>
            <w:tcW w:w="9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241</w:t>
            </w: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163</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687</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501</w:t>
            </w:r>
          </w:p>
        </w:tc>
      </w:tr>
      <w:tr>
        <w:trPr>
          <w:trHeight w:val="142"/>
        </w:trPr>
        <w:tc>
          <w:tcPr>
            <w:tcW w:w="5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Total Housing and Infrastructure Products</w:t>
            </w:r>
          </w:p>
        </w:tc>
        <w:tc>
          <w:tcPr>
            <w:tcW w:w="9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1,087</w:t>
            </w:r>
          </w:p>
        </w:tc>
        <w:tc>
          <w:tcPr>
            <w:tcW w:w="10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1,091</w:t>
            </w:r>
          </w:p>
        </w:tc>
        <w:tc>
          <w:tcPr>
            <w:tcW w:w="10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3,332</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3,247</w:t>
            </w:r>
          </w:p>
        </w:tc>
      </w:tr>
      <w:tr>
        <w:trPr>
          <w:trHeight w:val="133"/>
        </w:trPr>
        <w:tc>
          <w:tcPr>
            <w:tcW w:w="53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Performance and Essential Materials</w:t>
            </w:r>
          </w:p>
        </w:tc>
        <w:tc>
          <w:tcPr>
            <w:tcW w:w="9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53"/>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Performance Materials</w:t>
            </w:r>
          </w:p>
        </w:tc>
        <w:tc>
          <w:tcPr>
            <w:tcW w:w="9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1,176</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1,010</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3,415</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3,088</w:t>
            </w:r>
          </w:p>
        </w:tc>
      </w:tr>
      <w:tr>
        <w:trPr>
          <w:trHeight w:val="153"/>
        </w:trPr>
        <w:tc>
          <w:tcPr>
            <w:tcW w:w="5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Essential Materials</w:t>
            </w:r>
          </w:p>
        </w:tc>
        <w:tc>
          <w:tcPr>
            <w:tcW w:w="9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718</w:t>
            </w: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737</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2,157</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2,302</w:t>
            </w:r>
          </w:p>
        </w:tc>
      </w:tr>
      <w:tr>
        <w:trPr>
          <w:trHeight w:val="142"/>
        </w:trPr>
        <w:tc>
          <w:tcPr>
            <w:tcW w:w="5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Total Performance and Essential Materials</w:t>
            </w:r>
          </w:p>
        </w:tc>
        <w:tc>
          <w:tcPr>
            <w:tcW w:w="9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1,894</w:t>
            </w:r>
          </w:p>
        </w:tc>
        <w:tc>
          <w:tcPr>
            <w:tcW w:w="10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1,747</w:t>
            </w:r>
          </w:p>
        </w:tc>
        <w:tc>
          <w:tcPr>
            <w:tcW w:w="10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5,572</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5,390</w:t>
            </w:r>
          </w:p>
        </w:tc>
      </w:tr>
      <w:tr>
        <w:trPr>
          <w:trHeight w:val="158"/>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Total reportable segments and consolidated</w:t>
            </w:r>
          </w:p>
        </w:tc>
        <w:tc>
          <w:tcPr>
            <w:tcW w:w="960" w:type="dxa"/>
            <w:vAlign w:val="bottom"/>
            <w:tcBorders>
              <w:bottom w:val="single" w:sz="8" w:color="auto"/>
            </w:tcBorders>
          </w:tcPr>
          <w:p>
            <w:pPr>
              <w:jc w:val="right"/>
              <w:ind w:right="847"/>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2,981</w:t>
            </w: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807"/>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2,838</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8,904</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8,637</w:t>
            </w:r>
          </w:p>
        </w:tc>
      </w:tr>
      <w:tr>
        <w:trPr>
          <w:trHeight w:val="153"/>
        </w:trPr>
        <w:tc>
          <w:tcPr>
            <w:tcW w:w="5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53"/>
        </w:trPr>
        <w:tc>
          <w:tcPr>
            <w:tcW w:w="53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Income (loss) from operations</w:t>
            </w: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3"/>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Housing and Infrastructure Products</w:t>
            </w:r>
          </w:p>
        </w:tc>
        <w:tc>
          <w:tcPr>
            <w:tcW w:w="960" w:type="dxa"/>
            <w:vAlign w:val="bottom"/>
            <w:shd w:val="clear" w:color="auto" w:fill="CCEEFF"/>
          </w:tcPr>
          <w:p>
            <w:pPr>
              <w:jc w:val="right"/>
              <w:ind w:right="847"/>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807"/>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396</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521</w:t>
            </w:r>
          </w:p>
        </w:tc>
      </w:tr>
      <w:tr>
        <w:trPr>
          <w:trHeight w:val="153"/>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Performance and Essential Materials</w:t>
            </w:r>
          </w:p>
        </w:tc>
        <w:tc>
          <w:tcPr>
            <w:tcW w:w="9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(902)</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(1,383)</w:t>
            </w:r>
          </w:p>
        </w:tc>
      </w:tr>
      <w:tr>
        <w:trPr>
          <w:trHeight w:val="142"/>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reportable segments</w:t>
            </w: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(751)</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306</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(862)</w:t>
            </w:r>
          </w:p>
        </w:tc>
      </w:tr>
      <w:tr>
        <w:trPr>
          <w:trHeight w:val="153"/>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Corporate and other</w:t>
            </w:r>
          </w:p>
        </w:tc>
        <w:tc>
          <w:tcPr>
            <w:tcW w:w="9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w:t>
            </w:r>
          </w:p>
        </w:tc>
      </w:tr>
      <w:tr>
        <w:trPr>
          <w:trHeight w:val="158"/>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Consolidated</w:t>
            </w:r>
          </w:p>
        </w:tc>
        <w:tc>
          <w:tcPr>
            <w:tcW w:w="960" w:type="dxa"/>
            <w:vAlign w:val="bottom"/>
            <w:tcBorders>
              <w:bottom w:val="single" w:sz="8" w:color="auto"/>
            </w:tcBorders>
            <w:shd w:val="clear" w:color="auto" w:fill="CCEEFF"/>
          </w:tcPr>
          <w:p>
            <w:pPr>
              <w:jc w:val="right"/>
              <w:ind w:right="847"/>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10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807"/>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(766)</w:t>
            </w: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(907)</w:t>
            </w:r>
          </w:p>
        </w:tc>
      </w:tr>
      <w:tr>
        <w:trPr>
          <w:trHeight w:val="153"/>
        </w:trPr>
        <w:tc>
          <w:tcPr>
            <w:tcW w:w="5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3"/>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Depreciation and amortization</w:t>
            </w:r>
          </w:p>
        </w:tc>
        <w:tc>
          <w:tcPr>
            <w:tcW w:w="9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53"/>
        </w:trPr>
        <w:tc>
          <w:tcPr>
            <w:tcW w:w="5300" w:type="dxa"/>
            <w:vAlign w:val="bottom"/>
          </w:tcPr>
          <w:p>
            <w:pPr>
              <w:spacing w:after="0"/>
              <w:rPr>
                <w:sz w:val="20"/>
                <w:szCs w:val="20"/>
                <w:color w:val="auto"/>
              </w:rPr>
            </w:pPr>
            <w:r>
              <w:rPr>
                <w:rFonts w:ascii="Times New Roman" w:cs="Times New Roman" w:eastAsia="Times New Roman" w:hAnsi="Times New Roman"/>
                <w:sz w:val="12"/>
                <w:szCs w:val="12"/>
                <w:color w:val="auto"/>
              </w:rPr>
              <w:t>Housing and Infrastructure Products</w:t>
            </w:r>
          </w:p>
        </w:tc>
        <w:tc>
          <w:tcPr>
            <w:tcW w:w="960" w:type="dxa"/>
            <w:vAlign w:val="bottom"/>
          </w:tcPr>
          <w:p>
            <w:pPr>
              <w:jc w:val="right"/>
              <w:ind w:right="847"/>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00" w:type="dxa"/>
            <w:vAlign w:val="bottom"/>
          </w:tcPr>
          <w:p>
            <w:pPr>
              <w:spacing w:after="0"/>
              <w:rPr>
                <w:sz w:val="13"/>
                <w:szCs w:val="13"/>
                <w:color w:val="auto"/>
              </w:rPr>
            </w:pPr>
          </w:p>
        </w:tc>
        <w:tc>
          <w:tcPr>
            <w:tcW w:w="920" w:type="dxa"/>
            <w:vAlign w:val="bottom"/>
          </w:tcPr>
          <w:p>
            <w:pPr>
              <w:jc w:val="right"/>
              <w:ind w:right="807"/>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100" w:type="dxa"/>
            <w:vAlign w:val="bottom"/>
          </w:tcPr>
          <w:p>
            <w:pPr>
              <w:spacing w:after="0"/>
              <w:rPr>
                <w:sz w:val="13"/>
                <w:szCs w:val="13"/>
                <w:color w:val="auto"/>
              </w:rPr>
            </w:pPr>
          </w:p>
        </w:tc>
        <w:tc>
          <w:tcPr>
            <w:tcW w:w="520" w:type="dxa"/>
            <w:vAlign w:val="bottom"/>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w:t>
            </w:r>
          </w:p>
        </w:tc>
        <w:tc>
          <w:tcPr>
            <w:tcW w:w="10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170</w:t>
            </w:r>
          </w:p>
        </w:tc>
      </w:tr>
      <w:tr>
        <w:trPr>
          <w:trHeight w:val="153"/>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Performance and Essential Materials</w:t>
            </w:r>
          </w:p>
        </w:tc>
        <w:tc>
          <w:tcPr>
            <w:tcW w:w="96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224</w:t>
            </w:r>
          </w:p>
        </w:tc>
        <w:tc>
          <w:tcPr>
            <w:tcW w:w="100" w:type="dxa"/>
            <w:vAlign w:val="bottom"/>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238</w:t>
            </w:r>
          </w:p>
        </w:tc>
        <w:tc>
          <w:tcPr>
            <w:tcW w:w="10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667</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701</w:t>
            </w:r>
          </w:p>
        </w:tc>
      </w:tr>
      <w:tr>
        <w:trPr>
          <w:trHeight w:val="142"/>
        </w:trPr>
        <w:tc>
          <w:tcPr>
            <w:tcW w:w="5300" w:type="dxa"/>
            <w:vAlign w:val="bottom"/>
          </w:tcPr>
          <w:p>
            <w:pPr>
              <w:spacing w:after="0"/>
              <w:rPr>
                <w:sz w:val="20"/>
                <w:szCs w:val="20"/>
                <w:color w:val="auto"/>
              </w:rPr>
            </w:pPr>
            <w:r>
              <w:rPr>
                <w:rFonts w:ascii="Times New Roman" w:cs="Times New Roman" w:eastAsia="Times New Roman" w:hAnsi="Times New Roman"/>
                <w:sz w:val="12"/>
                <w:szCs w:val="12"/>
                <w:color w:val="auto"/>
              </w:rPr>
              <w:t>Total reportable segments</w:t>
            </w:r>
          </w:p>
        </w:tc>
        <w:tc>
          <w:tcPr>
            <w:tcW w:w="9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287</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852</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871</w:t>
            </w:r>
          </w:p>
        </w:tc>
      </w:tr>
      <w:tr>
        <w:trPr>
          <w:trHeight w:val="153"/>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Corporate and other</w:t>
            </w:r>
          </w:p>
        </w:tc>
        <w:tc>
          <w:tcPr>
            <w:tcW w:w="96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10</w:t>
            </w:r>
          </w:p>
        </w:tc>
      </w:tr>
      <w:tr>
        <w:trPr>
          <w:trHeight w:val="158"/>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Consolidated</w:t>
            </w:r>
          </w:p>
        </w:tc>
        <w:tc>
          <w:tcPr>
            <w:tcW w:w="960" w:type="dxa"/>
            <w:vAlign w:val="bottom"/>
            <w:tcBorders>
              <w:bottom w:val="single" w:sz="8" w:color="auto"/>
            </w:tcBorders>
          </w:tcPr>
          <w:p>
            <w:pPr>
              <w:jc w:val="right"/>
              <w:ind w:right="847"/>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290</w:t>
            </w: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807"/>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303</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860</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881</w:t>
            </w:r>
          </w:p>
        </w:tc>
      </w:tr>
      <w:tr>
        <w:trPr>
          <w:trHeight w:val="153"/>
        </w:trPr>
        <w:tc>
          <w:tcPr>
            <w:tcW w:w="5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53"/>
        </w:trPr>
        <w:tc>
          <w:tcPr>
            <w:tcW w:w="53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Other income (loss), net</w:t>
            </w: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3"/>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Housing and Infrastructure Products</w:t>
            </w:r>
          </w:p>
        </w:tc>
        <w:tc>
          <w:tcPr>
            <w:tcW w:w="960" w:type="dxa"/>
            <w:vAlign w:val="bottom"/>
            <w:shd w:val="clear" w:color="auto" w:fill="CCEEFF"/>
          </w:tcPr>
          <w:p>
            <w:pPr>
              <w:jc w:val="right"/>
              <w:ind w:right="847"/>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807"/>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w:t>
            </w:r>
          </w:p>
        </w:tc>
      </w:tr>
      <w:tr>
        <w:trPr>
          <w:trHeight w:val="153"/>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Performance and Essential Materials</w:t>
            </w:r>
          </w:p>
        </w:tc>
        <w:tc>
          <w:tcPr>
            <w:tcW w:w="9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23</w:t>
            </w:r>
          </w:p>
        </w:tc>
      </w:tr>
      <w:tr>
        <w:trPr>
          <w:trHeight w:val="142"/>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reportable segments</w:t>
            </w: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25</w:t>
            </w:r>
          </w:p>
        </w:tc>
      </w:tr>
      <w:tr>
        <w:trPr>
          <w:trHeight w:val="153"/>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Corporate and other</w:t>
            </w:r>
          </w:p>
        </w:tc>
        <w:tc>
          <w:tcPr>
            <w:tcW w:w="9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68</w:t>
            </w:r>
          </w:p>
        </w:tc>
      </w:tr>
      <w:tr>
        <w:trPr>
          <w:trHeight w:val="158"/>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Consolidated</w:t>
            </w:r>
          </w:p>
        </w:tc>
        <w:tc>
          <w:tcPr>
            <w:tcW w:w="960" w:type="dxa"/>
            <w:vAlign w:val="bottom"/>
            <w:tcBorders>
              <w:bottom w:val="single" w:sz="8" w:color="auto"/>
            </w:tcBorders>
            <w:shd w:val="clear" w:color="auto" w:fill="CCEEFF"/>
          </w:tcPr>
          <w:p>
            <w:pPr>
              <w:jc w:val="right"/>
              <w:ind w:right="847"/>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0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807"/>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93</w:t>
            </w:r>
          </w:p>
        </w:tc>
      </w:tr>
    </w:tbl>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ix</w:t>
      </w:r>
    </w:p>
    <w:p>
      <w:pPr>
        <w:sectPr>
          <w:pgSz w:w="11900" w:h="16838" w:orient="portrait"/>
          <w:cols w:equalWidth="0" w:num="1">
            <w:col w:w="11300"/>
          </w:cols>
          <w:pgMar w:left="300" w:top="800" w:right="299" w:bottom="1440" w:gutter="0" w:footer="0" w:header="0"/>
        </w:sectPr>
      </w:pPr>
    </w:p>
    <w:bookmarkStart w:id="13" w:name="page14"/>
    <w:bookmarkEnd w:id="13"/>
    <w:p>
      <w:pPr>
        <w:ind w:left="4840"/>
        <w:spacing w:after="0"/>
        <w:rPr>
          <w:sz w:val="20"/>
          <w:szCs w:val="20"/>
          <w:color w:val="auto"/>
        </w:rPr>
      </w:pPr>
      <w:r>
        <w:rPr>
          <w:rFonts w:ascii="Times New Roman" w:cs="Times New Roman" w:eastAsia="Times New Roman" w:hAnsi="Times New Roman"/>
          <w:sz w:val="12"/>
          <w:szCs w:val="12"/>
          <w:b w:val="1"/>
          <w:bCs w:val="1"/>
          <w:color w:val="auto"/>
        </w:rPr>
        <w:t>WESTLAKE CORPORATION</w:t>
      </w:r>
    </w:p>
    <w:p>
      <w:pPr>
        <w:spacing w:after="0" w:line="11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2"/>
          <w:szCs w:val="12"/>
          <w:b w:val="1"/>
          <w:bCs w:val="1"/>
          <w:color w:val="auto"/>
        </w:rPr>
        <w:t>RECONCILIATION OF EBITDA TO NET INCOME (LOSS), INCOME (LOSS) FROM OPERATIONS AND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NET CASH PROVIDED BY OPERATING ACTIVITIES (INCLUDING AND EXCLUDING IDENTIFIED ITEMS)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Three Months Ended June 30,</w:t>
            </w:r>
          </w:p>
        </w:tc>
        <w:tc>
          <w:tcPr>
            <w:tcW w:w="340" w:type="dxa"/>
            <w:vAlign w:val="bottom"/>
          </w:tcPr>
          <w:p>
            <w:pPr>
              <w:spacing w:after="0"/>
              <w:rPr>
                <w:sz w:val="11"/>
                <w:szCs w:val="11"/>
                <w:color w:val="auto"/>
              </w:rPr>
            </w:pPr>
          </w:p>
        </w:tc>
        <w:tc>
          <w:tcPr>
            <w:tcW w:w="2700" w:type="dxa"/>
            <w:vAlign w:val="bottom"/>
            <w:gridSpan w:val="5"/>
          </w:tcPr>
          <w:p>
            <w:pPr>
              <w:ind w:left="400"/>
              <w:spacing w:after="0"/>
              <w:rPr>
                <w:sz w:val="20"/>
                <w:szCs w:val="20"/>
                <w:color w:val="auto"/>
              </w:rPr>
            </w:pPr>
            <w:r>
              <w:rPr>
                <w:rFonts w:ascii="Times New Roman" w:cs="Times New Roman" w:eastAsia="Times New Roman" w:hAnsi="Times New Roman"/>
                <w:sz w:val="10"/>
                <w:szCs w:val="10"/>
                <w:b w:val="1"/>
                <w:bCs w:val="1"/>
                <w:color w:val="auto"/>
              </w:rPr>
              <w:t>Three Months Ended September 30,</w:t>
            </w:r>
          </w:p>
        </w:tc>
        <w:tc>
          <w:tcPr>
            <w:tcW w:w="360" w:type="dxa"/>
            <w:vAlign w:val="bottom"/>
          </w:tcPr>
          <w:p>
            <w:pPr>
              <w:spacing w:after="0"/>
              <w:rPr>
                <w:sz w:val="11"/>
                <w:szCs w:val="11"/>
                <w:color w:val="auto"/>
              </w:rPr>
            </w:pPr>
          </w:p>
        </w:tc>
        <w:tc>
          <w:tcPr>
            <w:tcW w:w="2600" w:type="dxa"/>
            <w:vAlign w:val="bottom"/>
            <w:gridSpan w:val="4"/>
          </w:tcPr>
          <w:p>
            <w:pPr>
              <w:jc w:val="right"/>
              <w:ind w:right="701"/>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r>
      <w:tr>
        <w:trPr>
          <w:trHeight w:val="128"/>
        </w:trPr>
        <w:tc>
          <w:tcPr>
            <w:tcW w:w="376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360" w:type="dxa"/>
            <w:vAlign w:val="bottom"/>
            <w:tcBorders>
              <w:top w:val="single" w:sz="8" w:color="auto"/>
              <w:bottom w:val="single" w:sz="8" w:color="auto"/>
            </w:tcBorders>
          </w:tcPr>
          <w:p>
            <w:pPr>
              <w:jc w:val="right"/>
              <w:ind w:right="561"/>
              <w:spacing w:after="0"/>
              <w:rPr>
                <w:sz w:val="20"/>
                <w:szCs w:val="20"/>
                <w:color w:val="auto"/>
              </w:rPr>
            </w:pPr>
            <w:r>
              <w:rPr>
                <w:rFonts w:ascii="Times New Roman" w:cs="Times New Roman" w:eastAsia="Times New Roman" w:hAnsi="Times New Roman"/>
                <w:sz w:val="10"/>
                <w:szCs w:val="10"/>
                <w:b w:val="1"/>
                <w:bCs w:val="1"/>
                <w:color w:val="auto"/>
              </w:rPr>
              <w:t>2026</w:t>
            </w:r>
          </w:p>
        </w:tc>
        <w:tc>
          <w:tcPr>
            <w:tcW w:w="80" w:type="dxa"/>
            <w:vAlign w:val="bottom"/>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100" w:type="dxa"/>
            <w:vAlign w:val="bottom"/>
            <w:tcBorders>
              <w:top w:val="single" w:sz="8" w:color="auto"/>
              <w:bottom w:val="single" w:sz="8" w:color="auto"/>
            </w:tcBorders>
          </w:tcPr>
          <w:p>
            <w:pPr>
              <w:jc w:val="right"/>
              <w:ind w:right="561"/>
              <w:spacing w:after="0"/>
              <w:rPr>
                <w:sz w:val="20"/>
                <w:szCs w:val="20"/>
                <w:color w:val="auto"/>
              </w:rPr>
            </w:pPr>
            <w:r>
              <w:rPr>
                <w:rFonts w:ascii="Times New Roman" w:cs="Times New Roman" w:eastAsia="Times New Roman" w:hAnsi="Times New Roman"/>
                <w:sz w:val="10"/>
                <w:szCs w:val="10"/>
                <w:b w:val="1"/>
                <w:bCs w:val="1"/>
                <w:color w:val="auto"/>
              </w:rPr>
              <w:t>2026</w:t>
            </w:r>
          </w:p>
        </w:tc>
        <w:tc>
          <w:tcPr>
            <w:tcW w:w="80" w:type="dxa"/>
            <w:vAlign w:val="bottom"/>
            <w:tcBorders>
              <w:top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561"/>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561"/>
              <w:spacing w:after="0"/>
              <w:rPr>
                <w:sz w:val="20"/>
                <w:szCs w:val="20"/>
                <w:color w:val="auto"/>
              </w:rPr>
            </w:pPr>
            <w:r>
              <w:rPr>
                <w:rFonts w:ascii="Times New Roman" w:cs="Times New Roman" w:eastAsia="Times New Roman" w:hAnsi="Times New Roman"/>
                <w:sz w:val="10"/>
                <w:szCs w:val="10"/>
                <w:b w:val="1"/>
                <w:bCs w:val="1"/>
                <w:color w:val="auto"/>
              </w:rPr>
              <w:t>2026</w:t>
            </w:r>
          </w:p>
        </w:tc>
        <w:tc>
          <w:tcPr>
            <w:tcW w:w="80" w:type="dxa"/>
            <w:vAlign w:val="bottom"/>
            <w:tcBorders>
              <w:top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561"/>
              <w:spacing w:after="0"/>
              <w:rPr>
                <w:sz w:val="20"/>
                <w:szCs w:val="20"/>
                <w:color w:val="auto"/>
              </w:rPr>
            </w:pPr>
            <w:r>
              <w:rPr>
                <w:rFonts w:ascii="Times New Roman" w:cs="Times New Roman" w:eastAsia="Times New Roman" w:hAnsi="Times New Roman"/>
                <w:sz w:val="10"/>
                <w:szCs w:val="10"/>
                <w:b w:val="1"/>
                <w:bCs w:val="1"/>
                <w:color w:val="auto"/>
              </w:rPr>
              <w:t>2025</w:t>
            </w:r>
          </w:p>
        </w:tc>
      </w:tr>
      <w:tr>
        <w:trPr>
          <w:trHeight w:val="147"/>
        </w:trPr>
        <w:tc>
          <w:tcPr>
            <w:tcW w:w="3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60" w:type="dxa"/>
            <w:vAlign w:val="bottom"/>
            <w:gridSpan w:val="6"/>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(in millions of dollars, except percentages)</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62"/>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cash provided by operating activities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305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408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182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619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240</w:t>
            </w:r>
          </w:p>
        </w:tc>
      </w:tr>
      <w:tr>
        <w:trPr>
          <w:trHeight w:val="153"/>
        </w:trPr>
        <w:tc>
          <w:tcPr>
            <w:tcW w:w="37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Changes in operating assets and liabilities and other</w:t>
            </w: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(509)</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(895)</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(592)</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(1,138)</w:t>
            </w:r>
          </w:p>
        </w:tc>
      </w:tr>
      <w:tr>
        <w:trPr>
          <w:trHeight w:val="153"/>
        </w:trPr>
        <w:tc>
          <w:tcPr>
            <w:tcW w:w="3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Deferred income taxes</w:t>
            </w:r>
          </w:p>
        </w:tc>
        <w:tc>
          <w:tcPr>
            <w:tcW w:w="8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20</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119</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105</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w:t>
            </w:r>
          </w:p>
        </w:tc>
      </w:tr>
      <w:tr>
        <w:trPr>
          <w:trHeight w:val="142"/>
        </w:trPr>
        <w:tc>
          <w:tcPr>
            <w:tcW w:w="3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Net income (loss)</w:t>
            </w:r>
          </w:p>
        </w:tc>
        <w:tc>
          <w:tcPr>
            <w:tcW w:w="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271</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18</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(772)</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132</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(938)</w:t>
            </w:r>
          </w:p>
        </w:tc>
      </w:tr>
      <w:tr>
        <w:trPr>
          <w:trHeight w:val="133"/>
        </w:trPr>
        <w:tc>
          <w:tcPr>
            <w:tcW w:w="37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Add:</w:t>
            </w: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r>
      <w:tr>
        <w:trPr>
          <w:trHeight w:val="153"/>
        </w:trPr>
        <w:tc>
          <w:tcPr>
            <w:tcW w:w="37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Identified Items, after-tax</w:t>
            </w:r>
          </w:p>
        </w:tc>
        <w:tc>
          <w:tcPr>
            <w:tcW w:w="80" w:type="dxa"/>
            <w:vAlign w:val="bottom"/>
          </w:tcPr>
          <w:p>
            <w:pPr>
              <w:spacing w:after="0"/>
              <w:rPr>
                <w:sz w:val="13"/>
                <w:szCs w:val="13"/>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52</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744</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121</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881</w:t>
            </w:r>
          </w:p>
        </w:tc>
      </w:tr>
      <w:tr>
        <w:trPr>
          <w:trHeight w:val="158"/>
        </w:trPr>
        <w:tc>
          <w:tcPr>
            <w:tcW w:w="3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income (loss) excl. Identified Items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271</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70</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253</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w:t>
            </w:r>
          </w:p>
        </w:tc>
      </w:tr>
      <w:tr>
        <w:trPr>
          <w:trHeight w:val="153"/>
        </w:trPr>
        <w:tc>
          <w:tcPr>
            <w:tcW w:w="3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3"/>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income (loss)</w:t>
            </w: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271</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18</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(772)</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132</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(938)</w:t>
            </w:r>
          </w:p>
        </w:tc>
      </w:tr>
      <w:tr>
        <w:trPr>
          <w:trHeight w:val="153"/>
        </w:trPr>
        <w:tc>
          <w:tcPr>
            <w:tcW w:w="3760" w:type="dxa"/>
            <w:vAlign w:val="bottom"/>
          </w:tcPr>
          <w:p>
            <w:pPr>
              <w:spacing w:after="0"/>
              <w:rPr>
                <w:sz w:val="20"/>
                <w:szCs w:val="20"/>
                <w:color w:val="auto"/>
              </w:rPr>
            </w:pPr>
            <w:r>
              <w:rPr>
                <w:rFonts w:ascii="Times New Roman" w:cs="Times New Roman" w:eastAsia="Times New Roman" w:hAnsi="Times New Roman"/>
                <w:sz w:val="12"/>
                <w:szCs w:val="12"/>
                <w:color w:val="auto"/>
              </w:rPr>
              <w:t>Less:</w:t>
            </w: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3"/>
        </w:trPr>
        <w:tc>
          <w:tcPr>
            <w:tcW w:w="3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Other income, net</w:t>
            </w: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29</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17</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32</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84</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w:t>
            </w:r>
          </w:p>
        </w:tc>
      </w:tr>
      <w:tr>
        <w:trPr>
          <w:trHeight w:val="153"/>
        </w:trPr>
        <w:tc>
          <w:tcPr>
            <w:tcW w:w="37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Interest expense</w:t>
            </w: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w:t>
            </w:r>
          </w:p>
        </w:tc>
      </w:tr>
      <w:tr>
        <w:trPr>
          <w:trHeight w:val="153"/>
        </w:trPr>
        <w:tc>
          <w:tcPr>
            <w:tcW w:w="3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Benefit from (provision for) income taxes</w:t>
            </w:r>
          </w:p>
        </w:tc>
        <w:tc>
          <w:tcPr>
            <w:tcW w:w="8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r>
      <w:tr>
        <w:trPr>
          <w:trHeight w:val="142"/>
        </w:trPr>
        <w:tc>
          <w:tcPr>
            <w:tcW w:w="3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Income (loss) from operations</w:t>
            </w:r>
          </w:p>
        </w:tc>
        <w:tc>
          <w:tcPr>
            <w:tcW w:w="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364</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43</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(766)</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235</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(907)</w:t>
            </w:r>
          </w:p>
        </w:tc>
      </w:tr>
      <w:tr>
        <w:trPr>
          <w:trHeight w:val="133"/>
        </w:trPr>
        <w:tc>
          <w:tcPr>
            <w:tcW w:w="37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Add:</w:t>
            </w: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r>
      <w:tr>
        <w:trPr>
          <w:trHeight w:val="153"/>
        </w:trPr>
        <w:tc>
          <w:tcPr>
            <w:tcW w:w="37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Identified Items, pre-tax</w:t>
            </w:r>
          </w:p>
        </w:tc>
        <w:tc>
          <w:tcPr>
            <w:tcW w:w="80" w:type="dxa"/>
            <w:vAlign w:val="bottom"/>
          </w:tcPr>
          <w:p>
            <w:pPr>
              <w:spacing w:after="0"/>
              <w:rPr>
                <w:sz w:val="13"/>
                <w:szCs w:val="13"/>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58</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744</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143</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881</w:t>
            </w:r>
          </w:p>
        </w:tc>
      </w:tr>
      <w:tr>
        <w:trPr>
          <w:trHeight w:val="142"/>
        </w:trPr>
        <w:tc>
          <w:tcPr>
            <w:tcW w:w="3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Income (loss) from operations excl. Identified Items</w:t>
            </w:r>
          </w:p>
        </w:tc>
        <w:tc>
          <w:tcPr>
            <w:tcW w:w="80" w:type="dxa"/>
            <w:vAlign w:val="bottom"/>
            <w:tcBorders>
              <w:top w:val="single" w:sz="8" w:color="auto"/>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364</w:t>
            </w:r>
          </w:p>
        </w:tc>
        <w:tc>
          <w:tcPr>
            <w:tcW w:w="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101</w:t>
            </w:r>
          </w:p>
        </w:tc>
        <w:tc>
          <w:tcPr>
            <w:tcW w:w="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378</w:t>
            </w:r>
          </w:p>
        </w:tc>
        <w:tc>
          <w:tcPr>
            <w:tcW w:w="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r>
      <w:tr>
        <w:trPr>
          <w:trHeight w:val="153"/>
        </w:trPr>
        <w:tc>
          <w:tcPr>
            <w:tcW w:w="3760" w:type="dxa"/>
            <w:vAlign w:val="bottom"/>
          </w:tcPr>
          <w:p>
            <w:pPr>
              <w:spacing w:after="0"/>
              <w:rPr>
                <w:sz w:val="20"/>
                <w:szCs w:val="20"/>
                <w:color w:val="auto"/>
              </w:rPr>
            </w:pPr>
            <w:r>
              <w:rPr>
                <w:rFonts w:ascii="Times New Roman" w:cs="Times New Roman" w:eastAsia="Times New Roman" w:hAnsi="Times New Roman"/>
                <w:sz w:val="12"/>
                <w:szCs w:val="12"/>
                <w:color w:val="auto"/>
              </w:rPr>
              <w:t>Add:</w:t>
            </w: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3"/>
        </w:trPr>
        <w:tc>
          <w:tcPr>
            <w:tcW w:w="3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286</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290</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303</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860</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881</w:t>
            </w:r>
          </w:p>
        </w:tc>
      </w:tr>
      <w:tr>
        <w:trPr>
          <w:trHeight w:val="153"/>
        </w:trPr>
        <w:tc>
          <w:tcPr>
            <w:tcW w:w="3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Other income, net</w:t>
            </w: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29</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17</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32</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84</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93</w:t>
            </w:r>
          </w:p>
        </w:tc>
      </w:tr>
      <w:tr>
        <w:trPr>
          <w:trHeight w:val="142"/>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EBITDA excl. Identified Items</w:t>
            </w:r>
          </w:p>
        </w:tc>
        <w:tc>
          <w:tcPr>
            <w:tcW w:w="8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679</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408</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313</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1,322</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948</w:t>
            </w:r>
          </w:p>
        </w:tc>
      </w:tr>
      <w:tr>
        <w:trPr>
          <w:trHeight w:val="153"/>
        </w:trPr>
        <w:tc>
          <w:tcPr>
            <w:tcW w:w="3760" w:type="dxa"/>
            <w:vAlign w:val="bottom"/>
          </w:tcPr>
          <w:p>
            <w:pPr>
              <w:spacing w:after="0"/>
              <w:rPr>
                <w:sz w:val="20"/>
                <w:szCs w:val="20"/>
                <w:color w:val="auto"/>
              </w:rPr>
            </w:pPr>
            <w:r>
              <w:rPr>
                <w:rFonts w:ascii="Times New Roman" w:cs="Times New Roman" w:eastAsia="Times New Roman" w:hAnsi="Times New Roman"/>
                <w:sz w:val="12"/>
                <w:szCs w:val="12"/>
                <w:color w:val="auto"/>
              </w:rPr>
              <w:t>Less:</w:t>
            </w: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3"/>
        </w:trPr>
        <w:tc>
          <w:tcPr>
            <w:tcW w:w="3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Identified Items, pre-tax</w:t>
            </w:r>
          </w:p>
        </w:tc>
        <w:tc>
          <w:tcPr>
            <w:tcW w:w="8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58</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744</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143</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881</w:t>
            </w:r>
          </w:p>
        </w:tc>
      </w:tr>
      <w:tr>
        <w:trPr>
          <w:trHeight w:val="158"/>
        </w:trPr>
        <w:tc>
          <w:tcPr>
            <w:tcW w:w="3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EBITDA</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679</w:t>
            </w:r>
          </w:p>
        </w:tc>
        <w:tc>
          <w:tcPr>
            <w:tcW w:w="8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350</w:t>
            </w:r>
          </w:p>
        </w:tc>
        <w:tc>
          <w:tcPr>
            <w:tcW w:w="8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(431)</w:t>
            </w:r>
          </w:p>
        </w:tc>
        <w:tc>
          <w:tcPr>
            <w:tcW w:w="8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1,179</w:t>
            </w:r>
          </w:p>
        </w:tc>
        <w:tc>
          <w:tcPr>
            <w:tcW w:w="8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67</w:t>
            </w:r>
          </w:p>
        </w:tc>
      </w:tr>
      <w:tr>
        <w:trPr>
          <w:trHeight w:val="153"/>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external sales</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3,271</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2,981</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2,838</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8,904</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8,637</w:t>
            </w:r>
          </w:p>
        </w:tc>
      </w:tr>
      <w:tr>
        <w:trPr>
          <w:trHeight w:val="158"/>
        </w:trPr>
        <w:tc>
          <w:tcPr>
            <w:tcW w:w="3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Operating income (loss) margin</w:t>
            </w: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11%</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(27)%</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(11)%</w:t>
            </w:r>
          </w:p>
        </w:tc>
      </w:tr>
      <w:tr>
        <w:trPr>
          <w:trHeight w:val="169"/>
        </w:trPr>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Operating income (loss) margin excl. Identified Items</w:t>
            </w:r>
          </w:p>
        </w:tc>
        <w:tc>
          <w:tcPr>
            <w:tcW w:w="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11%</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w:t>
            </w:r>
          </w:p>
        </w:tc>
      </w:tr>
      <w:tr>
        <w:trPr>
          <w:trHeight w:val="169"/>
        </w:trPr>
        <w:tc>
          <w:tcPr>
            <w:tcW w:w="3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EBITDA margin</w:t>
            </w: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21%</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(15)%</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13%</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1%</w:t>
            </w:r>
          </w:p>
        </w:tc>
      </w:tr>
      <w:tr>
        <w:trPr>
          <w:trHeight w:val="169"/>
        </w:trPr>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EBITDA margin excl. Identified Items</w:t>
            </w:r>
          </w:p>
        </w:tc>
        <w:tc>
          <w:tcPr>
            <w:tcW w:w="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21%</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14%</w:t>
            </w: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11%</w:t>
            </w: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15%</w:t>
            </w: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x</w:t>
      </w:r>
    </w:p>
    <w:p>
      <w:pPr>
        <w:sectPr>
          <w:pgSz w:w="11900" w:h="16838" w:orient="portrait"/>
          <w:cols w:equalWidth="0" w:num="1">
            <w:col w:w="11280"/>
          </w:cols>
          <w:pgMar w:left="300" w:top="800" w:right="319" w:bottom="1440" w:gutter="0" w:footer="0" w:header="0"/>
        </w:sectPr>
      </w:pPr>
    </w:p>
    <w:bookmarkStart w:id="14" w:name="page15"/>
    <w:bookmarkEnd w:id="14"/>
    <w:p>
      <w:pPr>
        <w:ind w:left="4840"/>
        <w:spacing w:after="0"/>
        <w:rPr>
          <w:sz w:val="20"/>
          <w:szCs w:val="20"/>
          <w:color w:val="auto"/>
        </w:rPr>
      </w:pPr>
      <w:r>
        <w:rPr>
          <w:rFonts w:ascii="Times New Roman" w:cs="Times New Roman" w:eastAsia="Times New Roman" w:hAnsi="Times New Roman"/>
          <w:sz w:val="12"/>
          <w:szCs w:val="12"/>
          <w:b w:val="1"/>
          <w:bCs w:val="1"/>
          <w:color w:val="auto"/>
        </w:rPr>
        <w:t>WESTLAKE CORPORATION</w:t>
      </w:r>
    </w:p>
    <w:p>
      <w:pPr>
        <w:spacing w:after="0" w:line="1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b w:val="1"/>
          <w:bCs w:val="1"/>
          <w:color w:val="auto"/>
        </w:rPr>
        <w:t>RECONCILIATION OF DILUTED EARNINGS (LOSS) PER COMMON SHARE TO DILUTED EARNINGS (LOSS) PER COMMON SHARE EXCLUDING IDENTIFIED ITEMS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5"/>
              </w:rPr>
              <w:t>Three Months Ended June 30,</w:t>
            </w:r>
          </w:p>
        </w:tc>
        <w:tc>
          <w:tcPr>
            <w:tcW w:w="340" w:type="dxa"/>
            <w:vAlign w:val="bottom"/>
          </w:tcPr>
          <w:p>
            <w:pPr>
              <w:spacing w:after="0"/>
              <w:rPr>
                <w:sz w:val="11"/>
                <w:szCs w:val="11"/>
                <w:color w:val="auto"/>
              </w:rPr>
            </w:pPr>
          </w:p>
        </w:tc>
        <w:tc>
          <w:tcPr>
            <w:tcW w:w="2700" w:type="dxa"/>
            <w:vAlign w:val="bottom"/>
            <w:gridSpan w:val="5"/>
          </w:tcPr>
          <w:p>
            <w:pPr>
              <w:ind w:left="380"/>
              <w:spacing w:after="0"/>
              <w:rPr>
                <w:sz w:val="20"/>
                <w:szCs w:val="20"/>
                <w:color w:val="auto"/>
              </w:rPr>
            </w:pPr>
            <w:r>
              <w:rPr>
                <w:rFonts w:ascii="Times New Roman" w:cs="Times New Roman" w:eastAsia="Times New Roman" w:hAnsi="Times New Roman"/>
                <w:sz w:val="10"/>
                <w:szCs w:val="10"/>
                <w:b w:val="1"/>
                <w:bCs w:val="1"/>
                <w:color w:val="auto"/>
              </w:rPr>
              <w:t>Three Months Ended September 30,</w:t>
            </w:r>
          </w:p>
        </w:tc>
        <w:tc>
          <w:tcPr>
            <w:tcW w:w="360" w:type="dxa"/>
            <w:vAlign w:val="bottom"/>
          </w:tcPr>
          <w:p>
            <w:pPr>
              <w:spacing w:after="0"/>
              <w:rPr>
                <w:sz w:val="11"/>
                <w:szCs w:val="11"/>
                <w:color w:val="auto"/>
              </w:rPr>
            </w:pPr>
          </w:p>
        </w:tc>
        <w:tc>
          <w:tcPr>
            <w:tcW w:w="2600" w:type="dxa"/>
            <w:vAlign w:val="bottom"/>
            <w:gridSpan w:val="5"/>
          </w:tcPr>
          <w:p>
            <w:pPr>
              <w:ind w:left="400"/>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c>
          <w:tcPr>
            <w:tcW w:w="0" w:type="dxa"/>
            <w:vAlign w:val="bottom"/>
          </w:tcPr>
          <w:p>
            <w:pPr>
              <w:spacing w:after="0"/>
              <w:rPr>
                <w:sz w:val="1"/>
                <w:szCs w:val="1"/>
                <w:color w:val="auto"/>
              </w:rPr>
            </w:pPr>
          </w:p>
        </w:tc>
      </w:tr>
      <w:tr>
        <w:trPr>
          <w:trHeight w:val="128"/>
        </w:trPr>
        <w:tc>
          <w:tcPr>
            <w:tcW w:w="378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340" w:type="dxa"/>
            <w:vAlign w:val="bottom"/>
            <w:tcBorders>
              <w:top w:val="single" w:sz="8" w:color="auto"/>
              <w:bottom w:val="single" w:sz="8" w:color="auto"/>
            </w:tcBorders>
          </w:tcPr>
          <w:p>
            <w:pPr>
              <w:jc w:val="center"/>
              <w:ind w:right="24"/>
              <w:spacing w:after="0"/>
              <w:rPr>
                <w:sz w:val="20"/>
                <w:szCs w:val="20"/>
                <w:color w:val="auto"/>
              </w:rPr>
            </w:pPr>
            <w:r>
              <w:rPr>
                <w:rFonts w:ascii="Times New Roman" w:cs="Times New Roman" w:eastAsia="Times New Roman" w:hAnsi="Times New Roman"/>
                <w:sz w:val="10"/>
                <w:szCs w:val="10"/>
                <w:b w:val="1"/>
                <w:bCs w:val="1"/>
                <w:color w:val="auto"/>
                <w:w w:val="89"/>
              </w:rPr>
              <w:t>2026</w:t>
            </w:r>
          </w:p>
        </w:tc>
        <w:tc>
          <w:tcPr>
            <w:tcW w:w="100" w:type="dxa"/>
            <w:vAlign w:val="bottom"/>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565"/>
              <w:spacing w:after="0"/>
              <w:rPr>
                <w:sz w:val="20"/>
                <w:szCs w:val="20"/>
                <w:color w:val="auto"/>
              </w:rPr>
            </w:pPr>
            <w:r>
              <w:rPr>
                <w:rFonts w:ascii="Times New Roman" w:cs="Times New Roman" w:eastAsia="Times New Roman" w:hAnsi="Times New Roman"/>
                <w:sz w:val="10"/>
                <w:szCs w:val="10"/>
                <w:b w:val="1"/>
                <w:bCs w:val="1"/>
                <w:color w:val="auto"/>
              </w:rPr>
              <w:t>2026</w:t>
            </w: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260" w:type="dxa"/>
            <w:vAlign w:val="bottom"/>
            <w:tcBorders>
              <w:top w:val="single" w:sz="8" w:color="auto"/>
              <w:bottom w:val="single" w:sz="8" w:color="auto"/>
            </w:tcBorders>
          </w:tcPr>
          <w:p>
            <w:pPr>
              <w:jc w:val="center"/>
              <w:ind w:right="105"/>
              <w:spacing w:after="0"/>
              <w:rPr>
                <w:sz w:val="20"/>
                <w:szCs w:val="20"/>
                <w:color w:val="auto"/>
              </w:rPr>
            </w:pPr>
            <w:r>
              <w:rPr>
                <w:rFonts w:ascii="Times New Roman" w:cs="Times New Roman" w:eastAsia="Times New Roman" w:hAnsi="Times New Roman"/>
                <w:sz w:val="10"/>
                <w:szCs w:val="10"/>
                <w:b w:val="1"/>
                <w:bCs w:val="1"/>
                <w:color w:val="auto"/>
                <w:w w:val="89"/>
              </w:rPr>
              <w:t>2025</w:t>
            </w:r>
          </w:p>
        </w:tc>
        <w:tc>
          <w:tcPr>
            <w:tcW w:w="100" w:type="dxa"/>
            <w:vAlign w:val="bottom"/>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ind w:right="565"/>
              <w:spacing w:after="0"/>
              <w:rPr>
                <w:sz w:val="20"/>
                <w:szCs w:val="20"/>
                <w:color w:val="auto"/>
              </w:rPr>
            </w:pPr>
            <w:r>
              <w:rPr>
                <w:rFonts w:ascii="Times New Roman" w:cs="Times New Roman" w:eastAsia="Times New Roman" w:hAnsi="Times New Roman"/>
                <w:sz w:val="10"/>
                <w:szCs w:val="10"/>
                <w:b w:val="1"/>
                <w:bCs w:val="1"/>
                <w:color w:val="auto"/>
              </w:rPr>
              <w:t>2026</w:t>
            </w: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543"/>
              <w:spacing w:after="0"/>
              <w:rPr>
                <w:sz w:val="20"/>
                <w:szCs w:val="20"/>
                <w:color w:val="auto"/>
              </w:rPr>
            </w:pPr>
            <w:r>
              <w:rPr>
                <w:rFonts w:ascii="Times New Roman" w:cs="Times New Roman" w:eastAsia="Times New Roman" w:hAnsi="Times New Roman"/>
                <w:sz w:val="10"/>
                <w:szCs w:val="10"/>
                <w:b w:val="1"/>
                <w:bCs w:val="1"/>
                <w:color w:val="auto"/>
              </w:rPr>
              <w:t>2025</w:t>
            </w:r>
          </w:p>
        </w:tc>
        <w:tc>
          <w:tcPr>
            <w:tcW w:w="20" w:type="dxa"/>
            <w:vAlign w:val="bottom"/>
            <w:tcBorders>
              <w:top w:val="single" w:sz="8" w:color="auto"/>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6"/>
              </w:rPr>
              <w:t>(per share data)</w:t>
            </w:r>
          </w:p>
        </w:tc>
        <w:tc>
          <w:tcPr>
            <w:tcW w:w="3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7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b w:val="1"/>
                <w:bCs w:val="1"/>
                <w:color w:val="auto"/>
              </w:rPr>
              <w:t>Diluted earnings (loss) per common share attributable to Westlake</w:t>
            </w:r>
          </w:p>
        </w:tc>
        <w:tc>
          <w:tcPr>
            <w:tcW w:w="8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Corporation</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(7.48)</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780" w:type="dxa"/>
            <w:vAlign w:val="bottom"/>
          </w:tcPr>
          <w:p>
            <w:pPr>
              <w:spacing w:after="0"/>
              <w:rPr>
                <w:sz w:val="20"/>
                <w:szCs w:val="20"/>
                <w:color w:val="auto"/>
              </w:rPr>
            </w:pPr>
            <w:r>
              <w:rPr>
                <w:rFonts w:ascii="Times New Roman" w:cs="Times New Roman" w:eastAsia="Times New Roman" w:hAnsi="Times New Roman"/>
                <w:sz w:val="12"/>
                <w:szCs w:val="12"/>
                <w:color w:val="auto"/>
              </w:rPr>
              <w:t>Add:</w:t>
            </w: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Loss per common share relating to Identified Items</w:t>
            </w:r>
          </w:p>
        </w:tc>
        <w:tc>
          <w:tcPr>
            <w:tcW w:w="8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5.77</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0.94</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6.84</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3780" w:type="dxa"/>
            <w:vAlign w:val="bottom"/>
          </w:tcPr>
          <w:p>
            <w:pPr>
              <w:spacing w:after="0" w:line="97" w:lineRule="exact"/>
              <w:rPr>
                <w:sz w:val="20"/>
                <w:szCs w:val="20"/>
                <w:color w:val="auto"/>
              </w:rPr>
            </w:pPr>
            <w:r>
              <w:rPr>
                <w:rFonts w:ascii="Times New Roman" w:cs="Times New Roman" w:eastAsia="Times New Roman" w:hAnsi="Times New Roman"/>
                <w:sz w:val="11"/>
                <w:szCs w:val="11"/>
                <w:b w:val="1"/>
                <w:bCs w:val="1"/>
                <w:color w:val="auto"/>
              </w:rPr>
              <w:t>Diluted earnings (loss) per common share attributable to Westlake</w:t>
            </w:r>
          </w:p>
        </w:tc>
        <w:tc>
          <w:tcPr>
            <w:tcW w:w="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2.01</w:t>
            </w:r>
          </w:p>
        </w:tc>
        <w:tc>
          <w:tcPr>
            <w:tcW w:w="100" w:type="dxa"/>
            <w:vAlign w:val="bottom"/>
          </w:tcPr>
          <w:p>
            <w:pPr>
              <w:spacing w:after="0"/>
              <w:rPr>
                <w:sz w:val="8"/>
                <w:szCs w:val="8"/>
                <w:color w:val="auto"/>
              </w:rPr>
            </w:pPr>
          </w:p>
        </w:tc>
        <w:tc>
          <w:tcPr>
            <w:tcW w:w="340" w:type="dxa"/>
            <w:vAlign w:val="bottom"/>
            <w:tcBorders>
              <w:top w:val="single" w:sz="8" w:color="auto"/>
            </w:tcBorders>
            <w:vMerge w:val="restart"/>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0.45</w:t>
            </w:r>
          </w:p>
        </w:tc>
        <w:tc>
          <w:tcPr>
            <w:tcW w:w="100" w:type="dxa"/>
            <w:vAlign w:val="bottom"/>
          </w:tcPr>
          <w:p>
            <w:pPr>
              <w:spacing w:after="0"/>
              <w:rPr>
                <w:sz w:val="8"/>
                <w:szCs w:val="8"/>
                <w:color w:val="auto"/>
              </w:rPr>
            </w:pPr>
          </w:p>
        </w:tc>
        <w:tc>
          <w:tcPr>
            <w:tcW w:w="160" w:type="dxa"/>
            <w:vAlign w:val="bottom"/>
            <w:tcBorders>
              <w:top w:val="single" w:sz="8" w:color="auto"/>
            </w:tcBorders>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(0.29)</w:t>
            </w:r>
          </w:p>
        </w:tc>
        <w:tc>
          <w:tcPr>
            <w:tcW w:w="100" w:type="dxa"/>
            <w:vAlign w:val="bottom"/>
          </w:tcPr>
          <w:p>
            <w:pPr>
              <w:spacing w:after="0"/>
              <w:rPr>
                <w:sz w:val="8"/>
                <w:szCs w:val="8"/>
                <w:color w:val="auto"/>
              </w:rPr>
            </w:pPr>
          </w:p>
        </w:tc>
        <w:tc>
          <w:tcPr>
            <w:tcW w:w="360" w:type="dxa"/>
            <w:vAlign w:val="bottom"/>
            <w:tcBorders>
              <w:top w:val="single" w:sz="8" w:color="auto"/>
            </w:tcBorders>
            <w:vMerge w:val="restart"/>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1.69</w:t>
            </w:r>
          </w:p>
        </w:tc>
        <w:tc>
          <w:tcPr>
            <w:tcW w:w="100" w:type="dxa"/>
            <w:vAlign w:val="bottom"/>
          </w:tcPr>
          <w:p>
            <w:pPr>
              <w:spacing w:after="0"/>
              <w:rPr>
                <w:sz w:val="8"/>
                <w:szCs w:val="8"/>
                <w:color w:val="auto"/>
              </w:rPr>
            </w:pPr>
          </w:p>
        </w:tc>
        <w:tc>
          <w:tcPr>
            <w:tcW w:w="340" w:type="dxa"/>
            <w:vAlign w:val="bottom"/>
            <w:tcBorders>
              <w:top w:val="single" w:sz="8" w:color="auto"/>
            </w:tcBorders>
            <w:vMerge w:val="restart"/>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(0.64)</w:t>
            </w:r>
          </w:p>
        </w:tc>
        <w:tc>
          <w:tcPr>
            <w:tcW w:w="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78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Corporation excl. Identified Items</w:t>
            </w:r>
          </w:p>
        </w:tc>
        <w:tc>
          <w:tcPr>
            <w:tcW w:w="80" w:type="dxa"/>
            <w:vAlign w:val="bottom"/>
            <w:tcBorders>
              <w:bottom w:val="single" w:sz="8" w:color="auto"/>
            </w:tcBorders>
            <w:vMerge w:val="continue"/>
          </w:tcPr>
          <w:p>
            <w:pPr>
              <w:spacing w:after="0"/>
              <w:rPr>
                <w:sz w:val="12"/>
                <w:szCs w:val="12"/>
                <w:color w:val="auto"/>
              </w:rPr>
            </w:pPr>
          </w:p>
        </w:tc>
        <w:tc>
          <w:tcPr>
            <w:tcW w:w="13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12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bottom w:val="single" w:sz="8" w:color="auto"/>
            </w:tcBorders>
            <w:vMerge w:val="continue"/>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3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60" w:type="dxa"/>
            <w:vAlign w:val="bottom"/>
            <w:gridSpan w:val="5"/>
          </w:tcPr>
          <w:p>
            <w:pPr>
              <w:jc w:val="center"/>
              <w:ind w:left="564"/>
              <w:spacing w:after="0"/>
              <w:rPr>
                <w:sz w:val="20"/>
                <w:szCs w:val="20"/>
                <w:color w:val="auto"/>
              </w:rPr>
            </w:pPr>
            <w:r>
              <w:rPr>
                <w:rFonts w:ascii="Times New Roman" w:cs="Times New Roman" w:eastAsia="Times New Roman" w:hAnsi="Times New Roman"/>
                <w:sz w:val="12"/>
                <w:szCs w:val="12"/>
                <w:b w:val="1"/>
                <w:bCs w:val="1"/>
                <w:color w:val="auto"/>
                <w:w w:val="99"/>
              </w:rPr>
              <w:t>WESTLAKE CORPORATION</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700" w:type="dxa"/>
            <w:vAlign w:val="bottom"/>
            <w:gridSpan w:val="11"/>
          </w:tcPr>
          <w:p>
            <w:pPr>
              <w:jc w:val="center"/>
              <w:ind w:left="2541"/>
              <w:spacing w:after="0"/>
              <w:rPr>
                <w:sz w:val="20"/>
                <w:szCs w:val="20"/>
                <w:color w:val="auto"/>
              </w:rPr>
            </w:pPr>
            <w:r>
              <w:rPr>
                <w:rFonts w:ascii="Times New Roman" w:cs="Times New Roman" w:eastAsia="Times New Roman" w:hAnsi="Times New Roman"/>
                <w:sz w:val="12"/>
                <w:szCs w:val="12"/>
                <w:b w:val="1"/>
                <w:bCs w:val="1"/>
                <w:color w:val="auto"/>
                <w:w w:val="99"/>
              </w:rPr>
              <w:t>RECONCILIATION OF FREE CASH FLOW TO NET CASH PROVIDED BY OPERATING ACTIVITIES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3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3"/>
          </w:tcPr>
          <w:p>
            <w:pPr>
              <w:jc w:val="center"/>
              <w:ind w:right="820"/>
              <w:spacing w:after="0"/>
              <w:rPr>
                <w:sz w:val="20"/>
                <w:szCs w:val="20"/>
                <w:color w:val="auto"/>
              </w:rPr>
            </w:pPr>
            <w:r>
              <w:rPr>
                <w:rFonts w:ascii="Times New Roman" w:cs="Times New Roman" w:eastAsia="Times New Roman" w:hAnsi="Times New Roman"/>
                <w:sz w:val="12"/>
                <w:szCs w:val="12"/>
                <w:b w:val="1"/>
                <w:bCs w:val="1"/>
                <w:color w:val="auto"/>
                <w:w w:val="99"/>
              </w:rPr>
              <w:t>(Unaudited)</w:t>
            </w: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3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5"/>
              </w:rPr>
              <w:t>Three Months Ended June 30,</w:t>
            </w:r>
          </w:p>
        </w:tc>
        <w:tc>
          <w:tcPr>
            <w:tcW w:w="340" w:type="dxa"/>
            <w:vAlign w:val="bottom"/>
          </w:tcPr>
          <w:p>
            <w:pPr>
              <w:spacing w:after="0"/>
              <w:rPr>
                <w:sz w:val="17"/>
                <w:szCs w:val="17"/>
                <w:color w:val="auto"/>
              </w:rPr>
            </w:pPr>
          </w:p>
        </w:tc>
        <w:tc>
          <w:tcPr>
            <w:tcW w:w="2700" w:type="dxa"/>
            <w:vAlign w:val="bottom"/>
            <w:gridSpan w:val="5"/>
          </w:tcPr>
          <w:p>
            <w:pPr>
              <w:ind w:left="380"/>
              <w:spacing w:after="0"/>
              <w:rPr>
                <w:sz w:val="20"/>
                <w:szCs w:val="20"/>
                <w:color w:val="auto"/>
              </w:rPr>
            </w:pPr>
            <w:r>
              <w:rPr>
                <w:rFonts w:ascii="Times New Roman" w:cs="Times New Roman" w:eastAsia="Times New Roman" w:hAnsi="Times New Roman"/>
                <w:sz w:val="10"/>
                <w:szCs w:val="10"/>
                <w:b w:val="1"/>
                <w:bCs w:val="1"/>
                <w:color w:val="auto"/>
              </w:rPr>
              <w:t>Three Months Ended September 30,</w:t>
            </w:r>
          </w:p>
        </w:tc>
        <w:tc>
          <w:tcPr>
            <w:tcW w:w="360" w:type="dxa"/>
            <w:vAlign w:val="bottom"/>
          </w:tcPr>
          <w:p>
            <w:pPr>
              <w:spacing w:after="0"/>
              <w:rPr>
                <w:sz w:val="17"/>
                <w:szCs w:val="17"/>
                <w:color w:val="auto"/>
              </w:rPr>
            </w:pPr>
          </w:p>
        </w:tc>
        <w:tc>
          <w:tcPr>
            <w:tcW w:w="2600" w:type="dxa"/>
            <w:vAlign w:val="bottom"/>
            <w:gridSpan w:val="5"/>
          </w:tcPr>
          <w:p>
            <w:pPr>
              <w:ind w:left="400"/>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c>
          <w:tcPr>
            <w:tcW w:w="0" w:type="dxa"/>
            <w:vAlign w:val="bottom"/>
          </w:tcPr>
          <w:p>
            <w:pPr>
              <w:spacing w:after="0"/>
              <w:rPr>
                <w:sz w:val="1"/>
                <w:szCs w:val="1"/>
                <w:color w:val="auto"/>
              </w:rPr>
            </w:pPr>
          </w:p>
        </w:tc>
      </w:tr>
      <w:tr>
        <w:trPr>
          <w:trHeight w:val="128"/>
        </w:trPr>
        <w:tc>
          <w:tcPr>
            <w:tcW w:w="378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340" w:type="dxa"/>
            <w:vAlign w:val="bottom"/>
            <w:tcBorders>
              <w:top w:val="single" w:sz="8" w:color="auto"/>
              <w:bottom w:val="single" w:sz="8" w:color="auto"/>
            </w:tcBorders>
          </w:tcPr>
          <w:p>
            <w:pPr>
              <w:jc w:val="center"/>
              <w:ind w:right="24"/>
              <w:spacing w:after="0"/>
              <w:rPr>
                <w:sz w:val="20"/>
                <w:szCs w:val="20"/>
                <w:color w:val="auto"/>
              </w:rPr>
            </w:pPr>
            <w:r>
              <w:rPr>
                <w:rFonts w:ascii="Times New Roman" w:cs="Times New Roman" w:eastAsia="Times New Roman" w:hAnsi="Times New Roman"/>
                <w:sz w:val="10"/>
                <w:szCs w:val="10"/>
                <w:b w:val="1"/>
                <w:bCs w:val="1"/>
                <w:color w:val="auto"/>
                <w:w w:val="89"/>
              </w:rPr>
              <w:t>2026</w:t>
            </w:r>
          </w:p>
        </w:tc>
        <w:tc>
          <w:tcPr>
            <w:tcW w:w="100" w:type="dxa"/>
            <w:vAlign w:val="bottom"/>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565"/>
              <w:spacing w:after="0"/>
              <w:rPr>
                <w:sz w:val="20"/>
                <w:szCs w:val="20"/>
                <w:color w:val="auto"/>
              </w:rPr>
            </w:pPr>
            <w:r>
              <w:rPr>
                <w:rFonts w:ascii="Times New Roman" w:cs="Times New Roman" w:eastAsia="Times New Roman" w:hAnsi="Times New Roman"/>
                <w:sz w:val="10"/>
                <w:szCs w:val="10"/>
                <w:b w:val="1"/>
                <w:bCs w:val="1"/>
                <w:color w:val="auto"/>
              </w:rPr>
              <w:t>2026</w:t>
            </w: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260" w:type="dxa"/>
            <w:vAlign w:val="bottom"/>
            <w:tcBorders>
              <w:top w:val="single" w:sz="8" w:color="auto"/>
              <w:bottom w:val="single" w:sz="8" w:color="auto"/>
            </w:tcBorders>
          </w:tcPr>
          <w:p>
            <w:pPr>
              <w:jc w:val="center"/>
              <w:ind w:right="105"/>
              <w:spacing w:after="0"/>
              <w:rPr>
                <w:sz w:val="20"/>
                <w:szCs w:val="20"/>
                <w:color w:val="auto"/>
              </w:rPr>
            </w:pPr>
            <w:r>
              <w:rPr>
                <w:rFonts w:ascii="Times New Roman" w:cs="Times New Roman" w:eastAsia="Times New Roman" w:hAnsi="Times New Roman"/>
                <w:sz w:val="10"/>
                <w:szCs w:val="10"/>
                <w:b w:val="1"/>
                <w:bCs w:val="1"/>
                <w:color w:val="auto"/>
                <w:w w:val="89"/>
              </w:rPr>
              <w:t>2025</w:t>
            </w:r>
          </w:p>
        </w:tc>
        <w:tc>
          <w:tcPr>
            <w:tcW w:w="100" w:type="dxa"/>
            <w:vAlign w:val="bottom"/>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ind w:right="565"/>
              <w:spacing w:after="0"/>
              <w:rPr>
                <w:sz w:val="20"/>
                <w:szCs w:val="20"/>
                <w:color w:val="auto"/>
              </w:rPr>
            </w:pPr>
            <w:r>
              <w:rPr>
                <w:rFonts w:ascii="Times New Roman" w:cs="Times New Roman" w:eastAsia="Times New Roman" w:hAnsi="Times New Roman"/>
                <w:sz w:val="10"/>
                <w:szCs w:val="10"/>
                <w:b w:val="1"/>
                <w:bCs w:val="1"/>
                <w:color w:val="auto"/>
              </w:rPr>
              <w:t>2026</w:t>
            </w: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563"/>
              <w:spacing w:after="0"/>
              <w:rPr>
                <w:sz w:val="20"/>
                <w:szCs w:val="20"/>
                <w:color w:val="auto"/>
              </w:rPr>
            </w:pPr>
            <w:r>
              <w:rPr>
                <w:rFonts w:ascii="Times New Roman" w:cs="Times New Roman" w:eastAsia="Times New Roman" w:hAnsi="Times New Roman"/>
                <w:sz w:val="10"/>
                <w:szCs w:val="10"/>
                <w:b w:val="1"/>
                <w:bCs w:val="1"/>
                <w:color w:val="auto"/>
              </w:rPr>
              <w:t>2025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5"/>
              </w:rPr>
              <w:t>(in millions of dollars)</w:t>
            </w:r>
          </w:p>
        </w:tc>
        <w:tc>
          <w:tcPr>
            <w:tcW w:w="3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Net cash provided by operating activities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7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Less:</w:t>
            </w: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Additions to property, plant and equipment</w:t>
            </w:r>
          </w:p>
        </w:tc>
        <w:tc>
          <w:tcPr>
            <w:tcW w:w="8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591</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7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Free cash flow</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111</w:t>
            </w:r>
          </w:p>
        </w:tc>
        <w:tc>
          <w:tcPr>
            <w:tcW w:w="100" w:type="dxa"/>
            <w:vAlign w:val="bottom"/>
          </w:tcPr>
          <w:p>
            <w:pPr>
              <w:spacing w:after="0"/>
              <w:rPr>
                <w:sz w:val="12"/>
                <w:szCs w:val="12"/>
                <w:color w:val="auto"/>
              </w:rPr>
            </w:pPr>
          </w:p>
        </w:tc>
        <w:tc>
          <w:tcPr>
            <w:tcW w:w="34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220</w:t>
            </w:r>
          </w:p>
        </w:tc>
        <w:tc>
          <w:tcPr>
            <w:tcW w:w="100" w:type="dxa"/>
            <w:vAlign w:val="bottom"/>
          </w:tcPr>
          <w:p>
            <w:pPr>
              <w:spacing w:after="0"/>
              <w:rPr>
                <w:sz w:val="12"/>
                <w:szCs w:val="12"/>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100" w:type="dxa"/>
            <w:vAlign w:val="bottom"/>
          </w:tcPr>
          <w:p>
            <w:pPr>
              <w:spacing w:after="0"/>
              <w:rPr>
                <w:sz w:val="12"/>
                <w:szCs w:val="12"/>
                <w:color w:val="auto"/>
              </w:rPr>
            </w:pPr>
          </w:p>
        </w:tc>
        <w:tc>
          <w:tcPr>
            <w:tcW w:w="3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100" w:type="dxa"/>
            <w:vAlign w:val="bottom"/>
          </w:tcPr>
          <w:p>
            <w:pPr>
              <w:spacing w:after="0"/>
              <w:rPr>
                <w:sz w:val="12"/>
                <w:szCs w:val="12"/>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xi</w:t>
      </w:r>
    </w:p>
    <w:p>
      <w:pPr>
        <w:sectPr>
          <w:pgSz w:w="11900" w:h="16838" w:orient="portrait"/>
          <w:cols w:equalWidth="0" w:num="1">
            <w:col w:w="11300"/>
          </w:cols>
          <w:pgMar w:left="300" w:top="908" w:right="29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2"/>
          <w:szCs w:val="12"/>
          <w:b w:val="1"/>
          <w:bCs w:val="1"/>
          <w:color w:val="auto"/>
        </w:rPr>
        <w:t>WESTLAKE CORPORATION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RECONCILIATION OF HIP SEGMENT EBITDA TO INCOME FROM OPERATIONS (INCLUDING AND EXCLUDING IDENTIFIED ITEMS)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Three Months Ended June 30,</w:t>
            </w:r>
          </w:p>
        </w:tc>
        <w:tc>
          <w:tcPr>
            <w:tcW w:w="340" w:type="dxa"/>
            <w:vAlign w:val="bottom"/>
          </w:tcPr>
          <w:p>
            <w:pPr>
              <w:spacing w:after="0"/>
              <w:rPr>
                <w:sz w:val="11"/>
                <w:szCs w:val="11"/>
                <w:color w:val="auto"/>
              </w:rPr>
            </w:pPr>
          </w:p>
        </w:tc>
        <w:tc>
          <w:tcPr>
            <w:tcW w:w="2700" w:type="dxa"/>
            <w:vAlign w:val="bottom"/>
            <w:gridSpan w:val="5"/>
          </w:tcPr>
          <w:p>
            <w:pPr>
              <w:ind w:left="380"/>
              <w:spacing w:after="0"/>
              <w:rPr>
                <w:sz w:val="20"/>
                <w:szCs w:val="20"/>
                <w:color w:val="auto"/>
              </w:rPr>
            </w:pPr>
            <w:r>
              <w:rPr>
                <w:rFonts w:ascii="Times New Roman" w:cs="Times New Roman" w:eastAsia="Times New Roman" w:hAnsi="Times New Roman"/>
                <w:sz w:val="10"/>
                <w:szCs w:val="10"/>
                <w:b w:val="1"/>
                <w:bCs w:val="1"/>
                <w:color w:val="auto"/>
              </w:rPr>
              <w:t>Three Months Ended September 30,</w:t>
            </w:r>
          </w:p>
        </w:tc>
        <w:tc>
          <w:tcPr>
            <w:tcW w:w="340" w:type="dxa"/>
            <w:vAlign w:val="bottom"/>
          </w:tcPr>
          <w:p>
            <w:pPr>
              <w:spacing w:after="0"/>
              <w:rPr>
                <w:sz w:val="11"/>
                <w:szCs w:val="11"/>
                <w:color w:val="auto"/>
              </w:rPr>
            </w:pPr>
          </w:p>
        </w:tc>
        <w:tc>
          <w:tcPr>
            <w:tcW w:w="2600" w:type="dxa"/>
            <w:vAlign w:val="bottom"/>
            <w:gridSpan w:val="4"/>
          </w:tcPr>
          <w:p>
            <w:pPr>
              <w:jc w:val="right"/>
              <w:ind w:right="701"/>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r>
      <w:tr>
        <w:trPr>
          <w:trHeight w:val="128"/>
        </w:trPr>
        <w:tc>
          <w:tcPr>
            <w:tcW w:w="378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340" w:type="dxa"/>
            <w:vAlign w:val="bottom"/>
            <w:tcBorders>
              <w:top w:val="single" w:sz="8" w:color="auto"/>
              <w:bottom w:val="single" w:sz="8" w:color="auto"/>
            </w:tcBorders>
          </w:tcPr>
          <w:p>
            <w:pPr>
              <w:jc w:val="right"/>
              <w:ind w:right="562"/>
              <w:spacing w:after="0"/>
              <w:rPr>
                <w:sz w:val="20"/>
                <w:szCs w:val="20"/>
                <w:color w:val="auto"/>
              </w:rPr>
            </w:pPr>
            <w:r>
              <w:rPr>
                <w:rFonts w:ascii="Times New Roman" w:cs="Times New Roman" w:eastAsia="Times New Roman" w:hAnsi="Times New Roman"/>
                <w:sz w:val="10"/>
                <w:szCs w:val="10"/>
                <w:b w:val="1"/>
                <w:bCs w:val="1"/>
                <w:color w:val="auto"/>
              </w:rPr>
              <w:t>2026</w:t>
            </w:r>
          </w:p>
        </w:tc>
        <w:tc>
          <w:tcPr>
            <w:tcW w:w="100" w:type="dxa"/>
            <w:vAlign w:val="bottom"/>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562"/>
              <w:spacing w:after="0"/>
              <w:rPr>
                <w:sz w:val="20"/>
                <w:szCs w:val="20"/>
                <w:color w:val="auto"/>
              </w:rPr>
            </w:pPr>
            <w:r>
              <w:rPr>
                <w:rFonts w:ascii="Times New Roman" w:cs="Times New Roman" w:eastAsia="Times New Roman" w:hAnsi="Times New Roman"/>
                <w:sz w:val="10"/>
                <w:szCs w:val="10"/>
                <w:b w:val="1"/>
                <w:bCs w:val="1"/>
                <w:color w:val="auto"/>
              </w:rPr>
              <w:t>2026</w:t>
            </w: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561"/>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562"/>
              <w:spacing w:after="0"/>
              <w:rPr>
                <w:sz w:val="20"/>
                <w:szCs w:val="20"/>
                <w:color w:val="auto"/>
              </w:rPr>
            </w:pPr>
            <w:r>
              <w:rPr>
                <w:rFonts w:ascii="Times New Roman" w:cs="Times New Roman" w:eastAsia="Times New Roman" w:hAnsi="Times New Roman"/>
                <w:sz w:val="10"/>
                <w:szCs w:val="10"/>
                <w:b w:val="1"/>
                <w:bCs w:val="1"/>
                <w:color w:val="auto"/>
              </w:rPr>
              <w:t>2026</w:t>
            </w: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561"/>
              <w:spacing w:after="0"/>
              <w:rPr>
                <w:sz w:val="20"/>
                <w:szCs w:val="20"/>
                <w:color w:val="auto"/>
              </w:rPr>
            </w:pPr>
            <w:r>
              <w:rPr>
                <w:rFonts w:ascii="Times New Roman" w:cs="Times New Roman" w:eastAsia="Times New Roman" w:hAnsi="Times New Roman"/>
                <w:sz w:val="10"/>
                <w:szCs w:val="10"/>
                <w:b w:val="1"/>
                <w:bCs w:val="1"/>
                <w:color w:val="auto"/>
              </w:rPr>
              <w:t>2025</w:t>
            </w:r>
          </w:p>
        </w:tc>
      </w:tr>
      <w:tr>
        <w:trPr>
          <w:trHeight w:val="147"/>
        </w:trPr>
        <w:tc>
          <w:tcPr>
            <w:tcW w:w="3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40" w:type="dxa"/>
            <w:vAlign w:val="bottom"/>
            <w:gridSpan w:val="6"/>
          </w:tcPr>
          <w:p>
            <w:pPr>
              <w:jc w:val="right"/>
              <w:ind w:right="246"/>
              <w:spacing w:after="0"/>
              <w:rPr>
                <w:sz w:val="20"/>
                <w:szCs w:val="20"/>
                <w:color w:val="auto"/>
              </w:rPr>
            </w:pPr>
            <w:r>
              <w:rPr>
                <w:rFonts w:ascii="Times New Roman" w:cs="Times New Roman" w:eastAsia="Times New Roman" w:hAnsi="Times New Roman"/>
                <w:sz w:val="10"/>
                <w:szCs w:val="10"/>
                <w:b w:val="1"/>
                <w:bCs w:val="1"/>
                <w:color w:val="auto"/>
              </w:rPr>
              <w:t>(in millions of dollars, except percentages)</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62"/>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Housing and Infrastructure Products Segment</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53"/>
        </w:trPr>
        <w:tc>
          <w:tcPr>
            <w:tcW w:w="37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Income from operations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w:t>
            </w:r>
          </w:p>
        </w:tc>
        <w:tc>
          <w:tcPr>
            <w:tcW w:w="10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w:t>
            </w:r>
          </w:p>
        </w:tc>
        <w:tc>
          <w:tcPr>
            <w:tcW w:w="10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10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396</w:t>
            </w:r>
          </w:p>
        </w:tc>
        <w:tc>
          <w:tcPr>
            <w:tcW w:w="10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521</w:t>
            </w:r>
          </w:p>
        </w:tc>
      </w:tr>
      <w:tr>
        <w:trPr>
          <w:trHeight w:val="15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Add:</w:t>
            </w: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53"/>
        </w:trPr>
        <w:tc>
          <w:tcPr>
            <w:tcW w:w="37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Identified Items</w:t>
            </w:r>
          </w:p>
        </w:tc>
        <w:tc>
          <w:tcPr>
            <w:tcW w:w="80" w:type="dxa"/>
            <w:vAlign w:val="bottom"/>
          </w:tcPr>
          <w:p>
            <w:pPr>
              <w:spacing w:after="0"/>
              <w:rPr>
                <w:sz w:val="13"/>
                <w:szCs w:val="13"/>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Income from operations excl. Identified Items</w:t>
            </w:r>
          </w:p>
        </w:tc>
        <w:tc>
          <w:tcPr>
            <w:tcW w:w="8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464</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521</w:t>
            </w:r>
          </w:p>
        </w:tc>
      </w:tr>
      <w:tr>
        <w:trPr>
          <w:trHeight w:val="153"/>
        </w:trPr>
        <w:tc>
          <w:tcPr>
            <w:tcW w:w="37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Add:</w:t>
            </w: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3"/>
        </w:trPr>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w:t>
            </w:r>
          </w:p>
        </w:tc>
      </w:tr>
      <w:tr>
        <w:trPr>
          <w:trHeight w:val="153"/>
        </w:trPr>
        <w:tc>
          <w:tcPr>
            <w:tcW w:w="3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Other income, net</w:t>
            </w:r>
          </w:p>
        </w:tc>
        <w:tc>
          <w:tcPr>
            <w:tcW w:w="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w:t>
            </w:r>
          </w:p>
        </w:tc>
      </w:tr>
      <w:tr>
        <w:trPr>
          <w:trHeight w:val="142"/>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EBITDA excl. Identified Items</w:t>
            </w:r>
          </w:p>
        </w:tc>
        <w:tc>
          <w:tcPr>
            <w:tcW w:w="8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276</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657</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693</w:t>
            </w:r>
          </w:p>
        </w:tc>
      </w:tr>
      <w:tr>
        <w:trPr>
          <w:trHeight w:val="133"/>
        </w:trPr>
        <w:tc>
          <w:tcPr>
            <w:tcW w:w="3780" w:type="dxa"/>
            <w:vAlign w:val="bottom"/>
          </w:tcPr>
          <w:p>
            <w:pPr>
              <w:ind w:left="20"/>
              <w:spacing w:after="0" w:line="133" w:lineRule="exact"/>
              <w:rPr>
                <w:sz w:val="20"/>
                <w:szCs w:val="20"/>
                <w:color w:val="auto"/>
              </w:rPr>
            </w:pPr>
            <w:r>
              <w:rPr>
                <w:rFonts w:ascii="Times New Roman" w:cs="Times New Roman" w:eastAsia="Times New Roman" w:hAnsi="Times New Roman"/>
                <w:sz w:val="12"/>
                <w:szCs w:val="12"/>
                <w:color w:val="auto"/>
              </w:rPr>
              <w:t>Less:</w:t>
            </w: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53"/>
        </w:trPr>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Identified Items</w:t>
            </w:r>
          </w:p>
        </w:tc>
        <w:tc>
          <w:tcPr>
            <w:tcW w:w="8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8"/>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EBITDA</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276</w:t>
            </w:r>
          </w:p>
        </w:tc>
        <w:tc>
          <w:tcPr>
            <w:tcW w:w="10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195</w:t>
            </w:r>
          </w:p>
        </w:tc>
        <w:tc>
          <w:tcPr>
            <w:tcW w:w="10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215</w:t>
            </w:r>
          </w:p>
        </w:tc>
        <w:tc>
          <w:tcPr>
            <w:tcW w:w="10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589</w:t>
            </w:r>
          </w:p>
        </w:tc>
        <w:tc>
          <w:tcPr>
            <w:tcW w:w="10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693</w:t>
            </w:r>
          </w:p>
        </w:tc>
      </w:tr>
      <w:tr>
        <w:trPr>
          <w:trHeight w:val="15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external sales</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1,252</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1,087</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1,091</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3,332</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3,247</w:t>
            </w:r>
          </w:p>
        </w:tc>
      </w:tr>
      <w:tr>
        <w:trPr>
          <w:trHeight w:val="158"/>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Operating income margin</w:t>
            </w:r>
          </w:p>
        </w:tc>
        <w:tc>
          <w:tcPr>
            <w:tcW w:w="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color w:val="auto"/>
              </w:rPr>
              <w:t>17%</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color w:val="auto"/>
              </w:rPr>
              <w:t>12%</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14%</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color w:val="auto"/>
              </w:rPr>
              <w:t>12%</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16%</w:t>
            </w:r>
          </w:p>
        </w:tc>
      </w:tr>
      <w:tr>
        <w:trPr>
          <w:trHeight w:val="169"/>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Operating income margin excl. Identified Items</w:t>
            </w:r>
          </w:p>
        </w:tc>
        <w:tc>
          <w:tcPr>
            <w:tcW w:w="8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17%</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12%</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14%</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14%</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16%</w:t>
            </w:r>
          </w:p>
        </w:tc>
      </w:tr>
      <w:tr>
        <w:trPr>
          <w:trHeight w:val="169"/>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EBITDA margin</w:t>
            </w: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color w:val="auto"/>
              </w:rPr>
              <w:t>22%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color w:val="auto"/>
              </w:rPr>
              <w:t>18%</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20%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color w:val="auto"/>
              </w:rPr>
              <w:t>18%</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21%</w:t>
            </w:r>
          </w:p>
        </w:tc>
      </w:tr>
      <w:tr>
        <w:trPr>
          <w:trHeight w:val="169"/>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EBITDA margin excl. Identified Items</w:t>
            </w:r>
          </w:p>
        </w:tc>
        <w:tc>
          <w:tcPr>
            <w:tcW w:w="8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22%</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18%</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20%</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20%</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xii</w:t>
      </w:r>
    </w:p>
    <w:p>
      <w:pPr>
        <w:sectPr>
          <w:pgSz w:w="11900" w:h="16838" w:orient="portrait"/>
          <w:cols w:equalWidth="0" w:num="1">
            <w:col w:w="11280"/>
          </w:cols>
          <w:pgMar w:left="300" w:top="638" w:right="319" w:bottom="1440" w:gutter="0" w:footer="0" w:header="0"/>
        </w:sectPr>
      </w:pPr>
    </w:p>
    <w:bookmarkStart w:id="16" w:name="page17"/>
    <w:bookmarkEnd w:id="16"/>
    <w:p>
      <w:pPr>
        <w:ind w:left="4840"/>
        <w:spacing w:after="0"/>
        <w:rPr>
          <w:sz w:val="20"/>
          <w:szCs w:val="20"/>
          <w:color w:val="auto"/>
        </w:rPr>
      </w:pPr>
      <w:r>
        <w:rPr>
          <w:rFonts w:ascii="Times New Roman" w:cs="Times New Roman" w:eastAsia="Times New Roman" w:hAnsi="Times New Roman"/>
          <w:sz w:val="12"/>
          <w:szCs w:val="12"/>
          <w:b w:val="1"/>
          <w:bCs w:val="1"/>
          <w:color w:val="auto"/>
        </w:rPr>
        <w:t>WESTLAKE CORPORATION</w:t>
      </w:r>
    </w:p>
    <w:p>
      <w:pPr>
        <w:spacing w:after="0" w:line="11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2"/>
          <w:szCs w:val="12"/>
          <w:b w:val="1"/>
          <w:bCs w:val="1"/>
          <w:color w:val="auto"/>
        </w:rPr>
        <w:t>RECONCILIATION OF PEM SEGMENT EBITDA TO INCOME (LOSS) FROM OPERATIONS (INCLUDING AND EXCLUDING IDENTIFIED ITEMS)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Three Months Ended June 30,</w:t>
            </w:r>
          </w:p>
        </w:tc>
        <w:tc>
          <w:tcPr>
            <w:tcW w:w="340" w:type="dxa"/>
            <w:vAlign w:val="bottom"/>
          </w:tcPr>
          <w:p>
            <w:pPr>
              <w:spacing w:after="0"/>
              <w:rPr>
                <w:sz w:val="11"/>
                <w:szCs w:val="11"/>
                <w:color w:val="auto"/>
              </w:rPr>
            </w:pPr>
          </w:p>
        </w:tc>
        <w:tc>
          <w:tcPr>
            <w:tcW w:w="2700" w:type="dxa"/>
            <w:vAlign w:val="bottom"/>
            <w:gridSpan w:val="5"/>
          </w:tcPr>
          <w:p>
            <w:pPr>
              <w:ind w:left="380"/>
              <w:spacing w:after="0"/>
              <w:rPr>
                <w:sz w:val="20"/>
                <w:szCs w:val="20"/>
                <w:color w:val="auto"/>
              </w:rPr>
            </w:pPr>
            <w:r>
              <w:rPr>
                <w:rFonts w:ascii="Times New Roman" w:cs="Times New Roman" w:eastAsia="Times New Roman" w:hAnsi="Times New Roman"/>
                <w:sz w:val="10"/>
                <w:szCs w:val="10"/>
                <w:b w:val="1"/>
                <w:bCs w:val="1"/>
                <w:color w:val="auto"/>
              </w:rPr>
              <w:t>Three Months Ended September 30,</w:t>
            </w:r>
          </w:p>
        </w:tc>
        <w:tc>
          <w:tcPr>
            <w:tcW w:w="340" w:type="dxa"/>
            <w:vAlign w:val="bottom"/>
          </w:tcPr>
          <w:p>
            <w:pPr>
              <w:spacing w:after="0"/>
              <w:rPr>
                <w:sz w:val="11"/>
                <w:szCs w:val="11"/>
                <w:color w:val="auto"/>
              </w:rPr>
            </w:pPr>
          </w:p>
        </w:tc>
        <w:tc>
          <w:tcPr>
            <w:tcW w:w="2600" w:type="dxa"/>
            <w:vAlign w:val="bottom"/>
            <w:gridSpan w:val="4"/>
          </w:tcPr>
          <w:p>
            <w:pPr>
              <w:jc w:val="right"/>
              <w:ind w:right="701"/>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r>
      <w:tr>
        <w:trPr>
          <w:trHeight w:val="128"/>
        </w:trPr>
        <w:tc>
          <w:tcPr>
            <w:tcW w:w="378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340" w:type="dxa"/>
            <w:vAlign w:val="bottom"/>
            <w:tcBorders>
              <w:top w:val="single" w:sz="8" w:color="auto"/>
              <w:bottom w:val="single" w:sz="8" w:color="auto"/>
            </w:tcBorders>
          </w:tcPr>
          <w:p>
            <w:pPr>
              <w:jc w:val="right"/>
              <w:ind w:right="562"/>
              <w:spacing w:after="0"/>
              <w:rPr>
                <w:sz w:val="20"/>
                <w:szCs w:val="20"/>
                <w:color w:val="auto"/>
              </w:rPr>
            </w:pPr>
            <w:r>
              <w:rPr>
                <w:rFonts w:ascii="Times New Roman" w:cs="Times New Roman" w:eastAsia="Times New Roman" w:hAnsi="Times New Roman"/>
                <w:sz w:val="10"/>
                <w:szCs w:val="10"/>
                <w:b w:val="1"/>
                <w:bCs w:val="1"/>
                <w:color w:val="auto"/>
              </w:rPr>
              <w:t>2026</w:t>
            </w:r>
          </w:p>
        </w:tc>
        <w:tc>
          <w:tcPr>
            <w:tcW w:w="100" w:type="dxa"/>
            <w:vAlign w:val="bottom"/>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562"/>
              <w:spacing w:after="0"/>
              <w:rPr>
                <w:sz w:val="20"/>
                <w:szCs w:val="20"/>
                <w:color w:val="auto"/>
              </w:rPr>
            </w:pPr>
            <w:r>
              <w:rPr>
                <w:rFonts w:ascii="Times New Roman" w:cs="Times New Roman" w:eastAsia="Times New Roman" w:hAnsi="Times New Roman"/>
                <w:sz w:val="10"/>
                <w:szCs w:val="10"/>
                <w:b w:val="1"/>
                <w:bCs w:val="1"/>
                <w:color w:val="auto"/>
              </w:rPr>
              <w:t>2026</w:t>
            </w: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561"/>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562"/>
              <w:spacing w:after="0"/>
              <w:rPr>
                <w:sz w:val="20"/>
                <w:szCs w:val="20"/>
                <w:color w:val="auto"/>
              </w:rPr>
            </w:pPr>
            <w:r>
              <w:rPr>
                <w:rFonts w:ascii="Times New Roman" w:cs="Times New Roman" w:eastAsia="Times New Roman" w:hAnsi="Times New Roman"/>
                <w:sz w:val="10"/>
                <w:szCs w:val="10"/>
                <w:b w:val="1"/>
                <w:bCs w:val="1"/>
                <w:color w:val="auto"/>
              </w:rPr>
              <w:t>2026</w:t>
            </w: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561"/>
              <w:spacing w:after="0"/>
              <w:rPr>
                <w:sz w:val="20"/>
                <w:szCs w:val="20"/>
                <w:color w:val="auto"/>
              </w:rPr>
            </w:pPr>
            <w:r>
              <w:rPr>
                <w:rFonts w:ascii="Times New Roman" w:cs="Times New Roman" w:eastAsia="Times New Roman" w:hAnsi="Times New Roman"/>
                <w:sz w:val="10"/>
                <w:szCs w:val="10"/>
                <w:b w:val="1"/>
                <w:bCs w:val="1"/>
                <w:color w:val="auto"/>
              </w:rPr>
              <w:t>2025</w:t>
            </w:r>
          </w:p>
        </w:tc>
      </w:tr>
      <w:tr>
        <w:trPr>
          <w:trHeight w:val="147"/>
        </w:trPr>
        <w:tc>
          <w:tcPr>
            <w:tcW w:w="3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40" w:type="dxa"/>
            <w:vAlign w:val="bottom"/>
            <w:gridSpan w:val="6"/>
          </w:tcPr>
          <w:p>
            <w:pPr>
              <w:jc w:val="right"/>
              <w:ind w:right="246"/>
              <w:spacing w:after="0"/>
              <w:rPr>
                <w:sz w:val="20"/>
                <w:szCs w:val="20"/>
                <w:color w:val="auto"/>
              </w:rPr>
            </w:pPr>
            <w:r>
              <w:rPr>
                <w:rFonts w:ascii="Times New Roman" w:cs="Times New Roman" w:eastAsia="Times New Roman" w:hAnsi="Times New Roman"/>
                <w:sz w:val="10"/>
                <w:szCs w:val="10"/>
                <w:b w:val="1"/>
                <w:bCs w:val="1"/>
                <w:color w:val="auto"/>
              </w:rPr>
              <w:t>(in millions of dollars, except percentages)</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61"/>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Performance and Essential Materials Segment</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53"/>
        </w:trPr>
        <w:tc>
          <w:tcPr>
            <w:tcW w:w="37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Income (loss) from operations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w:t>
            </w:r>
          </w:p>
        </w:tc>
        <w:tc>
          <w:tcPr>
            <w:tcW w:w="10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10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(902)</w:t>
            </w:r>
          </w:p>
        </w:tc>
        <w:tc>
          <w:tcPr>
            <w:tcW w:w="10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10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(1,383)</w:t>
            </w:r>
          </w:p>
        </w:tc>
      </w:tr>
      <w:tr>
        <w:trPr>
          <w:trHeight w:val="15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Add:</w:t>
            </w: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53"/>
        </w:trPr>
        <w:tc>
          <w:tcPr>
            <w:tcW w:w="37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Identified Items</w:t>
            </w:r>
          </w:p>
        </w:tc>
        <w:tc>
          <w:tcPr>
            <w:tcW w:w="80" w:type="dxa"/>
            <w:vAlign w:val="bottom"/>
          </w:tcPr>
          <w:p>
            <w:pPr>
              <w:spacing w:after="0"/>
              <w:rPr>
                <w:sz w:val="13"/>
                <w:szCs w:val="13"/>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881</w:t>
            </w:r>
          </w:p>
        </w:tc>
      </w:tr>
      <w:tr>
        <w:trPr>
          <w:trHeight w:val="142"/>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Income (loss) from operations excl. Identified Items</w:t>
            </w:r>
          </w:p>
        </w:tc>
        <w:tc>
          <w:tcPr>
            <w:tcW w:w="8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w:t>
            </w:r>
          </w:p>
        </w:tc>
      </w:tr>
      <w:tr>
        <w:trPr>
          <w:trHeight w:val="153"/>
        </w:trPr>
        <w:tc>
          <w:tcPr>
            <w:tcW w:w="37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Add:</w:t>
            </w: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3"/>
        </w:trPr>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222</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224</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238</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667</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701</w:t>
            </w:r>
          </w:p>
        </w:tc>
      </w:tr>
      <w:tr>
        <w:trPr>
          <w:trHeight w:val="153"/>
        </w:trPr>
        <w:tc>
          <w:tcPr>
            <w:tcW w:w="3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Other income (loss), net</w:t>
            </w:r>
          </w:p>
        </w:tc>
        <w:tc>
          <w:tcPr>
            <w:tcW w:w="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w:t>
            </w:r>
          </w:p>
        </w:tc>
      </w:tr>
      <w:tr>
        <w:trPr>
          <w:trHeight w:val="142"/>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EBITDA excl. Identified Items</w:t>
            </w:r>
          </w:p>
        </w:tc>
        <w:tc>
          <w:tcPr>
            <w:tcW w:w="8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416</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667</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222</w:t>
            </w:r>
          </w:p>
        </w:tc>
      </w:tr>
      <w:tr>
        <w:trPr>
          <w:trHeight w:val="133"/>
        </w:trPr>
        <w:tc>
          <w:tcPr>
            <w:tcW w:w="3780" w:type="dxa"/>
            <w:vAlign w:val="bottom"/>
          </w:tcPr>
          <w:p>
            <w:pPr>
              <w:ind w:left="20"/>
              <w:spacing w:after="0" w:line="133" w:lineRule="exact"/>
              <w:rPr>
                <w:sz w:val="20"/>
                <w:szCs w:val="20"/>
                <w:color w:val="auto"/>
              </w:rPr>
            </w:pPr>
            <w:r>
              <w:rPr>
                <w:rFonts w:ascii="Times New Roman" w:cs="Times New Roman" w:eastAsia="Times New Roman" w:hAnsi="Times New Roman"/>
                <w:sz w:val="12"/>
                <w:szCs w:val="12"/>
                <w:color w:val="auto"/>
              </w:rPr>
              <w:t>Less:</w:t>
            </w: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53"/>
        </w:trPr>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Identified Items</w:t>
            </w:r>
          </w:p>
        </w:tc>
        <w:tc>
          <w:tcPr>
            <w:tcW w:w="8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744</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881</w:t>
            </w:r>
          </w:p>
        </w:tc>
      </w:tr>
      <w:tr>
        <w:trPr>
          <w:trHeight w:val="158"/>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EBITDA</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416</w:t>
            </w:r>
          </w:p>
        </w:tc>
        <w:tc>
          <w:tcPr>
            <w:tcW w:w="10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159</w:t>
            </w:r>
          </w:p>
        </w:tc>
        <w:tc>
          <w:tcPr>
            <w:tcW w:w="10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(654)</w:t>
            </w:r>
          </w:p>
        </w:tc>
        <w:tc>
          <w:tcPr>
            <w:tcW w:w="10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594</w:t>
            </w:r>
          </w:p>
        </w:tc>
        <w:tc>
          <w:tcPr>
            <w:tcW w:w="10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(659)</w:t>
            </w:r>
          </w:p>
        </w:tc>
      </w:tr>
      <w:tr>
        <w:trPr>
          <w:trHeight w:val="15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external sales</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2,019</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1,894</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1,747</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5,572</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5,390</w:t>
            </w:r>
          </w:p>
        </w:tc>
      </w:tr>
      <w:tr>
        <w:trPr>
          <w:trHeight w:val="174"/>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Operating income (loss) margin</w:t>
            </w: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(52)%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(26)%</w:t>
            </w:r>
          </w:p>
        </w:tc>
      </w:tr>
      <w:tr>
        <w:trPr>
          <w:trHeight w:val="158"/>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Operating income (loss) margin excl. Identified Items</w:t>
            </w: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134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(9)%</w:t>
            </w:r>
          </w:p>
        </w:tc>
      </w:tr>
      <w:tr>
        <w:trPr>
          <w:trHeight w:val="169"/>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EBITDA margin</w:t>
            </w: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color w:val="auto"/>
              </w:rPr>
              <w:t>21%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color w:val="auto"/>
              </w:rPr>
              <w:t>8%</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(37)%</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color w:val="auto"/>
              </w:rPr>
              <w:t>11%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(12)%</w:t>
            </w:r>
          </w:p>
        </w:tc>
      </w:tr>
      <w:tr>
        <w:trPr>
          <w:trHeight w:val="169"/>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EBITDA margin excl. Identified Items</w:t>
            </w:r>
          </w:p>
        </w:tc>
        <w:tc>
          <w:tcPr>
            <w:tcW w:w="8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21%</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11%</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12%</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4%</w:t>
            </w:r>
          </w:p>
        </w:tc>
      </w:tr>
    </w:tbl>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xiii</w:t>
      </w:r>
    </w:p>
    <w:p>
      <w:pPr>
        <w:sectPr>
          <w:pgSz w:w="11900" w:h="16838" w:orient="portrait"/>
          <w:cols w:equalWidth="0" w:num="1">
            <w:col w:w="11280"/>
          </w:cols>
          <w:pgMar w:left="300" w:top="1070" w:right="319" w:bottom="1440" w:gutter="0" w:footer="0" w:header="0"/>
        </w:sectPr>
      </w:pPr>
    </w:p>
    <w:bookmarkStart w:id="17" w:name="page18"/>
    <w:bookmarkEnd w:id="17"/>
    <w:p>
      <w:pPr>
        <w:ind w:left="4848"/>
        <w:spacing w:after="0"/>
        <w:rPr>
          <w:sz w:val="20"/>
          <w:szCs w:val="20"/>
          <w:color w:val="auto"/>
        </w:rPr>
      </w:pPr>
      <w:r>
        <w:rPr>
          <w:rFonts w:ascii="Times New Roman" w:cs="Times New Roman" w:eastAsia="Times New Roman" w:hAnsi="Times New Roman"/>
          <w:sz w:val="12"/>
          <w:szCs w:val="12"/>
          <w:b w:val="1"/>
          <w:bCs w:val="1"/>
          <w:color w:val="auto"/>
        </w:rPr>
        <w:t>WESTLAKE CORPORATION</w:t>
      </w:r>
    </w:p>
    <w:p>
      <w:pPr>
        <w:spacing w:after="0" w:line="114" w:lineRule="exact"/>
        <w:rPr>
          <w:sz w:val="20"/>
          <w:szCs w:val="20"/>
          <w:color w:val="auto"/>
        </w:rPr>
      </w:pPr>
    </w:p>
    <w:p>
      <w:pPr>
        <w:ind w:left="4708"/>
        <w:spacing w:after="0"/>
        <w:rPr>
          <w:sz w:val="20"/>
          <w:szCs w:val="20"/>
          <w:color w:val="auto"/>
        </w:rPr>
      </w:pPr>
      <w:r>
        <w:rPr>
          <w:rFonts w:ascii="Times New Roman" w:cs="Times New Roman" w:eastAsia="Times New Roman" w:hAnsi="Times New Roman"/>
          <w:sz w:val="12"/>
          <w:szCs w:val="12"/>
          <w:b w:val="1"/>
          <w:bCs w:val="1"/>
          <w:color w:val="auto"/>
        </w:rPr>
        <w:t>SUPPLEMENTAL INFORMATION</w:t>
      </w:r>
    </w:p>
    <w:p>
      <w:pPr>
        <w:spacing w:after="0" w:line="114" w:lineRule="exact"/>
        <w:rPr>
          <w:sz w:val="20"/>
          <w:szCs w:val="20"/>
          <w:color w:val="auto"/>
        </w:rPr>
      </w:pPr>
    </w:p>
    <w:p>
      <w:pPr>
        <w:ind w:left="3368"/>
        <w:spacing w:after="0"/>
        <w:rPr>
          <w:sz w:val="20"/>
          <w:szCs w:val="20"/>
          <w:color w:val="auto"/>
        </w:rPr>
      </w:pPr>
      <w:r>
        <w:rPr>
          <w:rFonts w:ascii="Times New Roman" w:cs="Times New Roman" w:eastAsia="Times New Roman" w:hAnsi="Times New Roman"/>
          <w:sz w:val="12"/>
          <w:szCs w:val="12"/>
          <w:b w:val="1"/>
          <w:bCs w:val="1"/>
          <w:color w:val="auto"/>
        </w:rPr>
        <w:t>PRODUCT SALES PRICE AND VOLUME VARIANCE BY OPERATING SEGMENTS</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71"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32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3080" w:type="dxa"/>
            <w:vAlign w:val="bottom"/>
            <w:tcBorders>
              <w:bottom w:val="single" w:sz="8" w:color="auto"/>
            </w:tcBorders>
            <w:gridSpan w:val="3"/>
          </w:tcPr>
          <w:p>
            <w:pPr>
              <w:jc w:val="right"/>
              <w:ind w:right="583"/>
              <w:spacing w:after="0"/>
              <w:rPr>
                <w:sz w:val="20"/>
                <w:szCs w:val="20"/>
                <w:color w:val="auto"/>
              </w:rPr>
            </w:pPr>
            <w:r>
              <w:rPr>
                <w:rFonts w:ascii="Times New Roman" w:cs="Times New Roman" w:eastAsia="Times New Roman" w:hAnsi="Times New Roman"/>
                <w:sz w:val="10"/>
                <w:szCs w:val="10"/>
                <w:b w:val="1"/>
                <w:bCs w:val="1"/>
                <w:color w:val="auto"/>
              </w:rPr>
              <w:t>Third Quarter 2026 vs. Third Quarter 2025</w:t>
            </w:r>
          </w:p>
        </w:tc>
        <w:tc>
          <w:tcPr>
            <w:tcW w:w="80" w:type="dxa"/>
            <w:vAlign w:val="bottom"/>
          </w:tcPr>
          <w:p>
            <w:pPr>
              <w:spacing w:after="0"/>
              <w:rPr>
                <w:sz w:val="11"/>
                <w:szCs w:val="11"/>
                <w:color w:val="auto"/>
              </w:rPr>
            </w:pPr>
          </w:p>
        </w:tc>
        <w:tc>
          <w:tcPr>
            <w:tcW w:w="3080" w:type="dxa"/>
            <w:vAlign w:val="bottom"/>
            <w:tcBorders>
              <w:bottom w:val="single" w:sz="8" w:color="auto"/>
            </w:tcBorders>
            <w:gridSpan w:val="3"/>
          </w:tcPr>
          <w:p>
            <w:pPr>
              <w:jc w:val="right"/>
              <w:ind w:right="563"/>
              <w:spacing w:after="0"/>
              <w:rPr>
                <w:sz w:val="20"/>
                <w:szCs w:val="20"/>
                <w:color w:val="auto"/>
              </w:rPr>
            </w:pPr>
            <w:r>
              <w:rPr>
                <w:rFonts w:ascii="Times New Roman" w:cs="Times New Roman" w:eastAsia="Times New Roman" w:hAnsi="Times New Roman"/>
                <w:sz w:val="10"/>
                <w:szCs w:val="10"/>
                <w:b w:val="1"/>
                <w:bCs w:val="1"/>
                <w:color w:val="auto"/>
              </w:rPr>
              <w:t>Third Quarter 2026 vs. Second Quarter 2026</w:t>
            </w:r>
          </w:p>
        </w:tc>
        <w:tc>
          <w:tcPr>
            <w:tcW w:w="0" w:type="dxa"/>
            <w:vAlign w:val="bottom"/>
          </w:tcPr>
          <w:p>
            <w:pPr>
              <w:spacing w:after="0"/>
              <w:rPr>
                <w:sz w:val="1"/>
                <w:szCs w:val="1"/>
                <w:color w:val="auto"/>
              </w:rPr>
            </w:pPr>
          </w:p>
        </w:tc>
      </w:tr>
      <w:tr>
        <w:trPr>
          <w:trHeight w:val="89"/>
        </w:trPr>
        <w:tc>
          <w:tcPr>
            <w:tcW w:w="32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600" w:type="dxa"/>
            <w:vAlign w:val="bottom"/>
            <w:gridSpan w:val="2"/>
          </w:tcPr>
          <w:p>
            <w:pPr>
              <w:jc w:val="center"/>
              <w:ind w:right="80"/>
              <w:spacing w:after="0" w:line="89" w:lineRule="exact"/>
              <w:rPr>
                <w:sz w:val="20"/>
                <w:szCs w:val="20"/>
                <w:color w:val="auto"/>
              </w:rPr>
            </w:pPr>
            <w:r>
              <w:rPr>
                <w:rFonts w:ascii="Times New Roman" w:cs="Times New Roman" w:eastAsia="Times New Roman" w:hAnsi="Times New Roman"/>
                <w:sz w:val="10"/>
                <w:szCs w:val="10"/>
                <w:b w:val="1"/>
                <w:bCs w:val="1"/>
                <w:color w:val="auto"/>
                <w:w w:val="89"/>
              </w:rPr>
              <w:t>Average</w:t>
            </w:r>
          </w:p>
        </w:tc>
        <w:tc>
          <w:tcPr>
            <w:tcW w:w="15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0"/>
                <w:szCs w:val="10"/>
                <w:b w:val="1"/>
                <w:bCs w:val="1"/>
                <w:color w:val="auto"/>
              </w:rPr>
              <w:t>Volume</w:t>
            </w:r>
          </w:p>
        </w:tc>
        <w:tc>
          <w:tcPr>
            <w:tcW w:w="1600" w:type="dxa"/>
            <w:vAlign w:val="bottom"/>
            <w:gridSpan w:val="2"/>
          </w:tcPr>
          <w:p>
            <w:pPr>
              <w:jc w:val="center"/>
              <w:ind w:right="100"/>
              <w:spacing w:after="0" w:line="89" w:lineRule="exact"/>
              <w:rPr>
                <w:sz w:val="20"/>
                <w:szCs w:val="20"/>
                <w:color w:val="auto"/>
              </w:rPr>
            </w:pPr>
            <w:r>
              <w:rPr>
                <w:rFonts w:ascii="Times New Roman" w:cs="Times New Roman" w:eastAsia="Times New Roman" w:hAnsi="Times New Roman"/>
                <w:sz w:val="10"/>
                <w:szCs w:val="10"/>
                <w:b w:val="1"/>
                <w:bCs w:val="1"/>
                <w:color w:val="auto"/>
                <w:w w:val="95"/>
              </w:rPr>
              <w:t>Average</w:t>
            </w:r>
          </w:p>
        </w:tc>
        <w:tc>
          <w:tcPr>
            <w:tcW w:w="1480" w:type="dxa"/>
            <w:vAlign w:val="bottom"/>
            <w:vMerge w:val="restart"/>
          </w:tcPr>
          <w:p>
            <w:pPr>
              <w:jc w:val="right"/>
              <w:ind w:right="523"/>
              <w:spacing w:after="0"/>
              <w:rPr>
                <w:sz w:val="20"/>
                <w:szCs w:val="20"/>
                <w:color w:val="auto"/>
              </w:rPr>
            </w:pPr>
            <w:r>
              <w:rPr>
                <w:rFonts w:ascii="Times New Roman" w:cs="Times New Roman" w:eastAsia="Times New Roman" w:hAnsi="Times New Roman"/>
                <w:sz w:val="10"/>
                <w:szCs w:val="10"/>
                <w:b w:val="1"/>
                <w:bCs w:val="1"/>
                <w:color w:val="auto"/>
              </w:rPr>
              <w:t>Volume</w:t>
            </w:r>
          </w:p>
        </w:tc>
        <w:tc>
          <w:tcPr>
            <w:tcW w:w="0" w:type="dxa"/>
            <w:vAlign w:val="bottom"/>
          </w:tcPr>
          <w:p>
            <w:pPr>
              <w:spacing w:after="0"/>
              <w:rPr>
                <w:sz w:val="1"/>
                <w:szCs w:val="1"/>
                <w:color w:val="auto"/>
              </w:rPr>
            </w:pPr>
          </w:p>
        </w:tc>
      </w:tr>
      <w:tr>
        <w:trPr>
          <w:trHeight w:val="129"/>
        </w:trPr>
        <w:tc>
          <w:tcPr>
            <w:tcW w:w="32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4"/>
              </w:rPr>
              <w:t>Sales Price</w:t>
            </w:r>
          </w:p>
        </w:tc>
        <w:tc>
          <w:tcPr>
            <w:tcW w:w="1560" w:type="dxa"/>
            <w:vAlign w:val="bottom"/>
            <w:gridSpan w:val="2"/>
            <w:vMerge w:val="continue"/>
          </w:tcPr>
          <w:p>
            <w:pPr>
              <w:spacing w:after="0"/>
              <w:rPr>
                <w:sz w:val="11"/>
                <w:szCs w:val="11"/>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4"/>
              </w:rPr>
              <w:t>Sales Price</w:t>
            </w: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Housing and Infrastructure Products</w:t>
            </w:r>
          </w:p>
        </w:tc>
        <w:tc>
          <w:tcPr>
            <w:tcW w:w="180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+1 %</w:t>
            </w:r>
          </w:p>
        </w:tc>
        <w:tc>
          <w:tcPr>
            <w:tcW w:w="10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-2 %</w:t>
            </w:r>
          </w:p>
        </w:tc>
        <w:tc>
          <w:tcPr>
            <w:tcW w:w="8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+4 %</w:t>
            </w:r>
          </w:p>
        </w:tc>
        <w:tc>
          <w:tcPr>
            <w:tcW w:w="10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-17 %</w:t>
            </w:r>
          </w:p>
        </w:tc>
        <w:tc>
          <w:tcPr>
            <w:tcW w:w="0" w:type="dxa"/>
            <w:vAlign w:val="bottom"/>
          </w:tcPr>
          <w:p>
            <w:pPr>
              <w:spacing w:after="0"/>
              <w:rPr>
                <w:sz w:val="1"/>
                <w:szCs w:val="1"/>
                <w:color w:val="auto"/>
              </w:rPr>
            </w:pPr>
          </w:p>
        </w:tc>
      </w:tr>
      <w:tr>
        <w:trPr>
          <w:trHeight w:val="153"/>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Performance and Essential Materials</w:t>
            </w: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+9 %</w:t>
            </w:r>
          </w:p>
        </w:tc>
        <w:tc>
          <w:tcPr>
            <w:tcW w:w="1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-1 %</w:t>
            </w:r>
          </w:p>
        </w:tc>
        <w:tc>
          <w:tcPr>
            <w:tcW w:w="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-8 %</w:t>
            </w:r>
          </w:p>
        </w:tc>
        <w:tc>
          <w:tcPr>
            <w:tcW w:w="1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+2 %</w:t>
            </w:r>
          </w:p>
        </w:tc>
        <w:tc>
          <w:tcPr>
            <w:tcW w:w="0" w:type="dxa"/>
            <w:vAlign w:val="bottom"/>
          </w:tcPr>
          <w:p>
            <w:pPr>
              <w:spacing w:after="0"/>
              <w:rPr>
                <w:sz w:val="1"/>
                <w:szCs w:val="1"/>
                <w:color w:val="auto"/>
              </w:rPr>
            </w:pPr>
          </w:p>
        </w:tc>
      </w:tr>
      <w:tr>
        <w:trPr>
          <w:trHeight w:val="153"/>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Company</w:t>
            </w:r>
          </w:p>
        </w:tc>
        <w:tc>
          <w:tcPr>
            <w:tcW w:w="3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+6 %</w:t>
            </w: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-1 %</w:t>
            </w:r>
          </w:p>
        </w:tc>
        <w:tc>
          <w:tcPr>
            <w:tcW w:w="8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-4 %</w:t>
            </w: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-5 %</w:t>
            </w:r>
          </w:p>
        </w:tc>
        <w:tc>
          <w:tcPr>
            <w:tcW w:w="0" w:type="dxa"/>
            <w:vAlign w:val="bottom"/>
          </w:tcPr>
          <w:p>
            <w:pPr>
              <w:spacing w:after="0"/>
              <w:rPr>
                <w:sz w:val="1"/>
                <w:szCs w:val="1"/>
                <w:color w:val="auto"/>
              </w:rPr>
            </w:pPr>
          </w:p>
        </w:tc>
      </w:tr>
      <w:tr>
        <w:trPr>
          <w:trHeight w:val="585"/>
        </w:trPr>
        <w:tc>
          <w:tcPr>
            <w:tcW w:w="3240" w:type="dxa"/>
            <w:vAlign w:val="bottom"/>
          </w:tcPr>
          <w:p>
            <w:pPr>
              <w:spacing w:after="0"/>
              <w:rPr>
                <w:sz w:val="24"/>
                <w:szCs w:val="24"/>
                <w:color w:val="auto"/>
              </w:rPr>
            </w:pPr>
          </w:p>
        </w:tc>
        <w:tc>
          <w:tcPr>
            <w:tcW w:w="3400" w:type="dxa"/>
            <w:vAlign w:val="bottom"/>
            <w:gridSpan w:val="3"/>
          </w:tcPr>
          <w:p>
            <w:pPr>
              <w:jc w:val="center"/>
              <w:ind w:left="1360"/>
              <w:spacing w:after="0"/>
              <w:rPr>
                <w:sz w:val="20"/>
                <w:szCs w:val="20"/>
                <w:color w:val="auto"/>
              </w:rPr>
            </w:pPr>
            <w:r>
              <w:rPr>
                <w:rFonts w:ascii="Times New Roman" w:cs="Times New Roman" w:eastAsia="Times New Roman" w:hAnsi="Times New Roman"/>
                <w:sz w:val="12"/>
                <w:szCs w:val="12"/>
                <w:b w:val="1"/>
                <w:bCs w:val="1"/>
                <w:color w:val="auto"/>
                <w:w w:val="99"/>
              </w:rPr>
              <w:t>WESTLAKE CORPORATION</w:t>
            </w: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3240" w:type="dxa"/>
            <w:vAlign w:val="bottom"/>
          </w:tcPr>
          <w:p>
            <w:pPr>
              <w:spacing w:after="0"/>
              <w:rPr>
                <w:sz w:val="21"/>
                <w:szCs w:val="21"/>
                <w:color w:val="auto"/>
              </w:rPr>
            </w:pPr>
          </w:p>
        </w:tc>
        <w:tc>
          <w:tcPr>
            <w:tcW w:w="3400" w:type="dxa"/>
            <w:vAlign w:val="bottom"/>
            <w:gridSpan w:val="3"/>
          </w:tcPr>
          <w:p>
            <w:pPr>
              <w:jc w:val="center"/>
              <w:ind w:left="1340"/>
              <w:spacing w:after="0"/>
              <w:rPr>
                <w:sz w:val="20"/>
                <w:szCs w:val="20"/>
                <w:color w:val="auto"/>
              </w:rPr>
            </w:pPr>
            <w:r>
              <w:rPr>
                <w:rFonts w:ascii="Times New Roman" w:cs="Times New Roman" w:eastAsia="Times New Roman" w:hAnsi="Times New Roman"/>
                <w:sz w:val="12"/>
                <w:szCs w:val="12"/>
                <w:b w:val="1"/>
                <w:bCs w:val="1"/>
                <w:color w:val="auto"/>
                <w:w w:val="98"/>
              </w:rPr>
              <w:t>SUPPLEMENTAL INFORMATION</w:t>
            </w: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800" w:type="dxa"/>
            <w:vAlign w:val="bottom"/>
            <w:gridSpan w:val="8"/>
          </w:tcPr>
          <w:p>
            <w:pPr>
              <w:jc w:val="center"/>
              <w:ind w:left="1440"/>
              <w:spacing w:after="0"/>
              <w:rPr>
                <w:sz w:val="20"/>
                <w:szCs w:val="20"/>
                <w:color w:val="auto"/>
              </w:rPr>
            </w:pPr>
            <w:r>
              <w:rPr>
                <w:rFonts w:ascii="Times New Roman" w:cs="Times New Roman" w:eastAsia="Times New Roman" w:hAnsi="Times New Roman"/>
                <w:sz w:val="12"/>
                <w:szCs w:val="12"/>
                <w:b w:val="1"/>
                <w:bCs w:val="1"/>
                <w:color w:val="auto"/>
                <w:w w:val="99"/>
              </w:rPr>
              <w:t xml:space="preserve">PRODUCT SALES PRICE AND VOLUME VARIANCE BY OPERATING SEGMENTS - EXCLUDING PLANT CLOSURES AND ACQUISITION </w:t>
            </w:r>
            <w:r>
              <w:rPr>
                <w:rFonts w:ascii="Times New Roman" w:cs="Times New Roman" w:eastAsia="Times New Roman" w:hAnsi="Times New Roman"/>
                <w:sz w:val="15"/>
                <w:szCs w:val="15"/>
                <w:color w:val="auto"/>
                <w:w w:val="99"/>
                <w:vertAlign w:val="superscript"/>
              </w:rPr>
              <w:t>(1)</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32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60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9"/>
              </w:rPr>
              <w:t>(Unaudited)</w:t>
            </w: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3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080" w:type="dxa"/>
            <w:vAlign w:val="bottom"/>
            <w:tcBorders>
              <w:bottom w:val="single" w:sz="8" w:color="auto"/>
            </w:tcBorders>
            <w:gridSpan w:val="3"/>
          </w:tcPr>
          <w:p>
            <w:pPr>
              <w:jc w:val="right"/>
              <w:ind w:right="583"/>
              <w:spacing w:after="0"/>
              <w:rPr>
                <w:sz w:val="20"/>
                <w:szCs w:val="20"/>
                <w:color w:val="auto"/>
              </w:rPr>
            </w:pPr>
            <w:r>
              <w:rPr>
                <w:rFonts w:ascii="Times New Roman" w:cs="Times New Roman" w:eastAsia="Times New Roman" w:hAnsi="Times New Roman"/>
                <w:sz w:val="10"/>
                <w:szCs w:val="10"/>
                <w:b w:val="1"/>
                <w:bCs w:val="1"/>
                <w:color w:val="auto"/>
              </w:rPr>
              <w:t>Third Quarter 2026 vs. Third Quarter 2025</w:t>
            </w:r>
          </w:p>
        </w:tc>
        <w:tc>
          <w:tcPr>
            <w:tcW w:w="80" w:type="dxa"/>
            <w:vAlign w:val="bottom"/>
          </w:tcPr>
          <w:p>
            <w:pPr>
              <w:spacing w:after="0"/>
              <w:rPr>
                <w:sz w:val="18"/>
                <w:szCs w:val="18"/>
                <w:color w:val="auto"/>
              </w:rPr>
            </w:pPr>
          </w:p>
        </w:tc>
        <w:tc>
          <w:tcPr>
            <w:tcW w:w="3080" w:type="dxa"/>
            <w:vAlign w:val="bottom"/>
            <w:tcBorders>
              <w:bottom w:val="single" w:sz="8" w:color="auto"/>
            </w:tcBorders>
            <w:gridSpan w:val="3"/>
          </w:tcPr>
          <w:p>
            <w:pPr>
              <w:jc w:val="right"/>
              <w:ind w:right="563"/>
              <w:spacing w:after="0"/>
              <w:rPr>
                <w:sz w:val="20"/>
                <w:szCs w:val="20"/>
                <w:color w:val="auto"/>
              </w:rPr>
            </w:pPr>
            <w:r>
              <w:rPr>
                <w:rFonts w:ascii="Times New Roman" w:cs="Times New Roman" w:eastAsia="Times New Roman" w:hAnsi="Times New Roman"/>
                <w:sz w:val="10"/>
                <w:szCs w:val="10"/>
                <w:b w:val="1"/>
                <w:bCs w:val="1"/>
                <w:color w:val="auto"/>
              </w:rPr>
              <w:t>Third Quarter 2026 vs. Second Quarter 2026</w:t>
            </w:r>
          </w:p>
        </w:tc>
        <w:tc>
          <w:tcPr>
            <w:tcW w:w="0" w:type="dxa"/>
            <w:vAlign w:val="bottom"/>
          </w:tcPr>
          <w:p>
            <w:pPr>
              <w:spacing w:after="0"/>
              <w:rPr>
                <w:sz w:val="1"/>
                <w:szCs w:val="1"/>
                <w:color w:val="auto"/>
              </w:rPr>
            </w:pPr>
          </w:p>
        </w:tc>
      </w:tr>
      <w:tr>
        <w:trPr>
          <w:trHeight w:val="88"/>
        </w:trPr>
        <w:tc>
          <w:tcPr>
            <w:tcW w:w="32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600" w:type="dxa"/>
            <w:vAlign w:val="bottom"/>
            <w:gridSpan w:val="2"/>
          </w:tcPr>
          <w:p>
            <w:pPr>
              <w:jc w:val="center"/>
              <w:ind w:right="80"/>
              <w:spacing w:after="0" w:line="88" w:lineRule="exact"/>
              <w:rPr>
                <w:sz w:val="20"/>
                <w:szCs w:val="20"/>
                <w:color w:val="auto"/>
              </w:rPr>
            </w:pPr>
            <w:r>
              <w:rPr>
                <w:rFonts w:ascii="Times New Roman" w:cs="Times New Roman" w:eastAsia="Times New Roman" w:hAnsi="Times New Roman"/>
                <w:sz w:val="10"/>
                <w:szCs w:val="10"/>
                <w:b w:val="1"/>
                <w:bCs w:val="1"/>
                <w:color w:val="auto"/>
                <w:w w:val="89"/>
              </w:rPr>
              <w:t>Average</w:t>
            </w:r>
          </w:p>
        </w:tc>
        <w:tc>
          <w:tcPr>
            <w:tcW w:w="15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0"/>
                <w:szCs w:val="10"/>
                <w:b w:val="1"/>
                <w:bCs w:val="1"/>
                <w:color w:val="auto"/>
              </w:rPr>
              <w:t>Volume</w:t>
            </w:r>
          </w:p>
        </w:tc>
        <w:tc>
          <w:tcPr>
            <w:tcW w:w="1600" w:type="dxa"/>
            <w:vAlign w:val="bottom"/>
            <w:gridSpan w:val="2"/>
          </w:tcPr>
          <w:p>
            <w:pPr>
              <w:jc w:val="center"/>
              <w:ind w:right="100"/>
              <w:spacing w:after="0" w:line="88" w:lineRule="exact"/>
              <w:rPr>
                <w:sz w:val="20"/>
                <w:szCs w:val="20"/>
                <w:color w:val="auto"/>
              </w:rPr>
            </w:pPr>
            <w:r>
              <w:rPr>
                <w:rFonts w:ascii="Times New Roman" w:cs="Times New Roman" w:eastAsia="Times New Roman" w:hAnsi="Times New Roman"/>
                <w:sz w:val="10"/>
                <w:szCs w:val="10"/>
                <w:b w:val="1"/>
                <w:bCs w:val="1"/>
                <w:color w:val="auto"/>
                <w:w w:val="95"/>
              </w:rPr>
              <w:t>Average</w:t>
            </w:r>
          </w:p>
        </w:tc>
        <w:tc>
          <w:tcPr>
            <w:tcW w:w="1480" w:type="dxa"/>
            <w:vAlign w:val="bottom"/>
            <w:vMerge w:val="restart"/>
          </w:tcPr>
          <w:p>
            <w:pPr>
              <w:jc w:val="right"/>
              <w:ind w:right="523"/>
              <w:spacing w:after="0"/>
              <w:rPr>
                <w:sz w:val="20"/>
                <w:szCs w:val="20"/>
                <w:color w:val="auto"/>
              </w:rPr>
            </w:pPr>
            <w:r>
              <w:rPr>
                <w:rFonts w:ascii="Times New Roman" w:cs="Times New Roman" w:eastAsia="Times New Roman" w:hAnsi="Times New Roman"/>
                <w:sz w:val="10"/>
                <w:szCs w:val="10"/>
                <w:b w:val="1"/>
                <w:bCs w:val="1"/>
                <w:color w:val="auto"/>
              </w:rPr>
              <w:t>Volume</w:t>
            </w:r>
          </w:p>
        </w:tc>
        <w:tc>
          <w:tcPr>
            <w:tcW w:w="0" w:type="dxa"/>
            <w:vAlign w:val="bottom"/>
          </w:tcPr>
          <w:p>
            <w:pPr>
              <w:spacing w:after="0"/>
              <w:rPr>
                <w:sz w:val="1"/>
                <w:szCs w:val="1"/>
                <w:color w:val="auto"/>
              </w:rPr>
            </w:pPr>
          </w:p>
        </w:tc>
      </w:tr>
      <w:tr>
        <w:trPr>
          <w:trHeight w:val="130"/>
        </w:trPr>
        <w:tc>
          <w:tcPr>
            <w:tcW w:w="32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4"/>
              </w:rPr>
              <w:t>Sales Price</w:t>
            </w:r>
          </w:p>
        </w:tc>
        <w:tc>
          <w:tcPr>
            <w:tcW w:w="1560" w:type="dxa"/>
            <w:vAlign w:val="bottom"/>
            <w:gridSpan w:val="2"/>
            <w:vMerge w:val="continue"/>
          </w:tcPr>
          <w:p>
            <w:pPr>
              <w:spacing w:after="0"/>
              <w:rPr>
                <w:sz w:val="11"/>
                <w:szCs w:val="11"/>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4"/>
              </w:rPr>
              <w:t>Sales Price</w:t>
            </w: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Housing and Infrastructure Products</w:t>
            </w:r>
          </w:p>
        </w:tc>
        <w:tc>
          <w:tcPr>
            <w:tcW w:w="180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+1 %</w:t>
            </w:r>
          </w:p>
        </w:tc>
        <w:tc>
          <w:tcPr>
            <w:tcW w:w="10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-6 %</w:t>
            </w:r>
          </w:p>
        </w:tc>
        <w:tc>
          <w:tcPr>
            <w:tcW w:w="8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+4 %</w:t>
            </w:r>
          </w:p>
        </w:tc>
        <w:tc>
          <w:tcPr>
            <w:tcW w:w="10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-17 %</w:t>
            </w:r>
          </w:p>
        </w:tc>
        <w:tc>
          <w:tcPr>
            <w:tcW w:w="0" w:type="dxa"/>
            <w:vAlign w:val="bottom"/>
          </w:tcPr>
          <w:p>
            <w:pPr>
              <w:spacing w:after="0"/>
              <w:rPr>
                <w:sz w:val="1"/>
                <w:szCs w:val="1"/>
                <w:color w:val="auto"/>
              </w:rPr>
            </w:pPr>
          </w:p>
        </w:tc>
      </w:tr>
      <w:tr>
        <w:trPr>
          <w:trHeight w:val="153"/>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Performance and Essential Materials</w:t>
            </w: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+9 %</w:t>
            </w:r>
          </w:p>
        </w:tc>
        <w:tc>
          <w:tcPr>
            <w:tcW w:w="1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+4 %</w:t>
            </w:r>
          </w:p>
        </w:tc>
        <w:tc>
          <w:tcPr>
            <w:tcW w:w="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-8 %</w:t>
            </w:r>
          </w:p>
        </w:tc>
        <w:tc>
          <w:tcPr>
            <w:tcW w:w="1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53"/>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Company</w:t>
            </w:r>
          </w:p>
        </w:tc>
        <w:tc>
          <w:tcPr>
            <w:tcW w:w="3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+6 %</w:t>
            </w:r>
          </w:p>
        </w:tc>
        <w:tc>
          <w:tcPr>
            <w:tcW w:w="10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-4 %</w:t>
            </w: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-7 %</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8"/>
        <w:spacing w:after="0"/>
        <w:rPr>
          <w:sz w:val="20"/>
          <w:szCs w:val="20"/>
          <w:color w:val="auto"/>
        </w:rPr>
      </w:pPr>
      <w:r>
        <w:rPr>
          <w:rFonts w:ascii="Times New Roman" w:cs="Times New Roman" w:eastAsia="Times New Roman" w:hAnsi="Times New Roman"/>
          <w:sz w:val="7"/>
          <w:szCs w:val="7"/>
          <w:color w:val="auto"/>
        </w:rPr>
        <w:t>______________________________</w:t>
      </w:r>
    </w:p>
    <w:p>
      <w:pPr>
        <w:spacing w:after="0" w:line="44" w:lineRule="exact"/>
        <w:rPr>
          <w:sz w:val="20"/>
          <w:szCs w:val="20"/>
          <w:color w:val="auto"/>
        </w:rPr>
      </w:pPr>
    </w:p>
    <w:p>
      <w:pPr>
        <w:ind w:left="268" w:hanging="268"/>
        <w:spacing w:after="0"/>
        <w:tabs>
          <w:tab w:leader="none" w:pos="26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Adjustments include:</w:t>
      </w:r>
    </w:p>
    <w:p>
      <w:pPr>
        <w:spacing w:after="0" w:line="42" w:lineRule="exact"/>
        <w:rPr>
          <w:rFonts w:ascii="Times New Roman" w:cs="Times New Roman" w:eastAsia="Times New Roman" w:hAnsi="Times New Roman"/>
          <w:sz w:val="12"/>
          <w:szCs w:val="12"/>
          <w:color w:val="auto"/>
        </w:rPr>
      </w:pPr>
    </w:p>
    <w:p>
      <w:pPr>
        <w:jc w:val="both"/>
        <w:ind w:left="708" w:right="100" w:hanging="276"/>
        <w:spacing w:after="0" w:line="265" w:lineRule="auto"/>
        <w:tabs>
          <w:tab w:leader="none" w:pos="701" w:val="left"/>
        </w:tabs>
        <w:numPr>
          <w:ilvl w:val="1"/>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Excludes sales in the comparative periods related to certain of the Company's North America Chlorovinyls production facilities, including (i) its polyvinyl chloride plant at the Aberdeen, Mississippi facility, (ii) its vinyl chloride monomer plant at the Lake Charles, Louisiana North facility, and (iii) one of its diaphragm chlor-alkali units at the Lake Charles, Louisiana South facility, and the Company's styrene production plant located at the Lake Charles, Louisiana facilities, each of which ceased operations in December 2025.</w:t>
      </w:r>
    </w:p>
    <w:p>
      <w:pPr>
        <w:spacing w:after="0" w:line="10" w:lineRule="exact"/>
        <w:rPr>
          <w:rFonts w:ascii="Times New Roman" w:cs="Times New Roman" w:eastAsia="Times New Roman" w:hAnsi="Times New Roman"/>
          <w:sz w:val="12"/>
          <w:szCs w:val="12"/>
          <w:color w:val="auto"/>
        </w:rPr>
      </w:pPr>
    </w:p>
    <w:p>
      <w:pPr>
        <w:ind w:left="708" w:hanging="276"/>
        <w:spacing w:after="0"/>
        <w:tabs>
          <w:tab w:leader="none" w:pos="708" w:val="left"/>
        </w:tabs>
        <w:numPr>
          <w:ilvl w:val="1"/>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third quarter of 2026 comparison to the third quarter of 2025 excludes sales related to ACI, which was acquired by the Company in January 2026.</w:t>
      </w:r>
    </w:p>
    <w:p>
      <w:pPr>
        <w:spacing w:after="0" w:line="42" w:lineRule="exact"/>
        <w:rPr>
          <w:rFonts w:ascii="Times New Roman" w:cs="Times New Roman" w:eastAsia="Times New Roman" w:hAnsi="Times New Roman"/>
          <w:sz w:val="12"/>
          <w:szCs w:val="12"/>
          <w:color w:val="auto"/>
        </w:rPr>
      </w:pPr>
    </w:p>
    <w:p>
      <w:pPr>
        <w:ind w:left="688" w:hanging="256"/>
        <w:spacing w:after="0"/>
        <w:tabs>
          <w:tab w:leader="none" w:pos="688" w:val="left"/>
        </w:tabs>
        <w:numPr>
          <w:ilvl w:val="1"/>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Excludes sales related to the Wilhelmshaven vinyls facility, which was acquired by the Company in June 2026.</w:t>
      </w:r>
    </w:p>
    <w:p>
      <w:pPr>
        <w:spacing w:after="0" w:line="200" w:lineRule="exact"/>
        <w:rPr>
          <w:sz w:val="20"/>
          <w:szCs w:val="20"/>
          <w:color w:val="auto"/>
        </w:rPr>
      </w:pPr>
    </w:p>
    <w:p>
      <w:pPr>
        <w:spacing w:after="0" w:line="37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xiv</w:t>
      </w:r>
    </w:p>
    <w:p>
      <w:pPr>
        <w:sectPr>
          <w:pgSz w:w="11900" w:h="16838" w:orient="portrait"/>
          <w:cols w:equalWidth="0" w:num="1">
            <w:col w:w="11288"/>
          </w:cols>
          <w:pgMar w:left="292" w:top="863" w:right="319" w:bottom="1440"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2026-11-04T06:33:08Z</dcterms:created>
  <dcterms:modified xsi:type="dcterms:W3CDTF">2026-11-04T06:33:08Z</dcterms:modified>
</cp:coreProperties>
</file>