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8-A</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REGISTRATION OF CERTAIN CLASSES OF SECURITIES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12(b) OR (g) OF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WESTLAKE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8681" w:type="dxa"/>
        <w:jc w:val="left"/>
        <w:tblInd w:w="0" w:type="dxa"/>
        <w:tblLayout w:type="fixed"/>
        <w:tblCellMar>
          <w:top w:w="28" w:type="dxa"/>
          <w:left w:w="28" w:type="dxa"/>
          <w:bottom w:w="28" w:type="dxa"/>
          <w:right w:w="28" w:type="dxa"/>
        </w:tblCellMar>
      </w:tblPr>
      <w:tblGrid>
        <w:gridCol w:w="1795"/>
        <w:gridCol w:w="1577"/>
        <w:gridCol w:w="1593"/>
        <w:gridCol w:w="109"/>
        <w:gridCol w:w="109"/>
        <w:gridCol w:w="109"/>
        <w:gridCol w:w="989"/>
        <w:gridCol w:w="989"/>
        <w:gridCol w:w="141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76-0346924</w:t>
            </w:r>
          </w:p>
        </w:tc>
      </w:tr>
      <w:tr>
        <w:trPr/>
        <w:tc>
          <w:tcPr>
            <w:tcW w:w="496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bl>
    <w:p>
      <w:pPr>
        <w:pStyle w:val="TextBody"/>
        <w:bidi w:val="0"/>
        <w:spacing w:lineRule="auto" w:line="288" w:before="0" w:after="0"/>
        <w:jc w:val="center"/>
        <w:rPr>
          <w:color w:val="000000"/>
        </w:rPr>
      </w:pPr>
      <w:r>
        <w:rPr>
          <w:color w:val="000000"/>
        </w:rPr>
        <w:t> </w:t>
      </w:r>
    </w:p>
    <w:tbl>
      <w:tblPr>
        <w:tblW w:w="4587" w:type="dxa"/>
        <w:jc w:val="left"/>
        <w:tblInd w:w="0" w:type="dxa"/>
        <w:tblLayout w:type="fixed"/>
        <w:tblCellMar>
          <w:top w:w="28" w:type="dxa"/>
          <w:left w:w="28" w:type="dxa"/>
          <w:bottom w:w="28" w:type="dxa"/>
          <w:right w:w="28" w:type="dxa"/>
        </w:tblCellMar>
      </w:tblPr>
      <w:tblGrid>
        <w:gridCol w:w="1169"/>
        <w:gridCol w:w="1025"/>
        <w:gridCol w:w="1031"/>
        <w:gridCol w:w="109"/>
        <w:gridCol w:w="109"/>
        <w:gridCol w:w="109"/>
        <w:gridCol w:w="303"/>
        <w:gridCol w:w="303"/>
        <w:gridCol w:w="429"/>
      </w:tblGrid>
      <w:tr>
        <w:trPr/>
        <w:tc>
          <w:tcPr>
            <w:tcW w:w="1169"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5444 Westheimer, Suite 101</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Houston, Texas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77056</w:t>
            </w:r>
          </w:p>
        </w:tc>
      </w:tr>
      <w:tr>
        <w:trPr/>
        <w:tc>
          <w:tcPr>
            <w:tcW w:w="322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to be registered pursuant to Section 12(b) of the Act:</w:t>
      </w:r>
    </w:p>
    <w:p>
      <w:pPr>
        <w:pStyle w:val="TextBody"/>
        <w:bidi w:val="0"/>
        <w:spacing w:lineRule="auto" w:line="288" w:before="0" w:after="0"/>
        <w:jc w:val="center"/>
        <w:rPr>
          <w:color w:val="000000"/>
        </w:rPr>
      </w:pPr>
      <w:r>
        <w:rPr>
          <w:color w:val="000000"/>
        </w:rPr>
        <w:t> </w:t>
      </w:r>
    </w:p>
    <w:tbl>
      <w:tblPr>
        <w:tblW w:w="7043" w:type="dxa"/>
        <w:jc w:val="left"/>
        <w:tblInd w:w="0" w:type="dxa"/>
        <w:tblLayout w:type="fixed"/>
        <w:tblCellMar>
          <w:top w:w="28" w:type="dxa"/>
          <w:left w:w="28" w:type="dxa"/>
          <w:bottom w:w="28" w:type="dxa"/>
          <w:right w:w="28" w:type="dxa"/>
        </w:tblCellMar>
      </w:tblPr>
      <w:tblGrid>
        <w:gridCol w:w="1253"/>
        <w:gridCol w:w="1104"/>
        <w:gridCol w:w="1107"/>
        <w:gridCol w:w="109"/>
        <w:gridCol w:w="109"/>
        <w:gridCol w:w="109"/>
        <w:gridCol w:w="959"/>
        <w:gridCol w:w="959"/>
        <w:gridCol w:w="962"/>
        <w:gridCol w:w="109"/>
        <w:gridCol w:w="109"/>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color w:val="000000"/>
                <w:sz w:val="20"/>
              </w:rPr>
            </w:pPr>
            <w:r>
              <w:rPr>
                <w:rFonts w:ascii="Times New Roman;serif" w:hAnsi="Times New Roman;serif"/>
                <w:b/>
                <w:color w:val="000000"/>
                <w:sz w:val="20"/>
              </w:rPr>
              <w:t>Title of each class to be so registered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 on which</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each class is to be registered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321" w:before="0" w:after="160"/>
              <w:jc w:val="center"/>
              <w:rPr>
                <w:rFonts w:ascii="Times New Roman;serif" w:hAnsi="Times New Roman;serif"/>
                <w:b w:val="false"/>
                <w:color w:val="000000"/>
                <w:sz w:val="20"/>
              </w:rPr>
            </w:pPr>
            <w:r>
              <w:rPr>
                <w:rFonts w:ascii="Times New Roman;serif" w:hAnsi="Times New Roman;serif"/>
                <w:b w:val="false"/>
                <w:color w:val="000000"/>
                <w:sz w:val="20"/>
              </w:rPr>
              <w:t>The NYSE Texas,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relates to the registration of a class of securities pursuant to Section 12(b) of the Exchange Act and is effective pursuant to General Instruction A.(c) or (e),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relates to the registration of a class of securities pursuant to Section 12(g) of the Exchange Act and is effective pursuant to General Instruction A.(d) or (e), check the following box. </w:t>
      </w:r>
      <w:r>
        <w:rPr>
          <w:color w:val="000000"/>
        </w:rPr>
        <w: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0"/>
        </w:rPr>
        <w:t xml:space="preserve">If this form relates to the registration of a class of securities concurrently with a Registration A offering, check the following box. </w:t>
      </w:r>
      <w:r>
        <w:rPr>
          <w:color w:val="000000"/>
        </w:rPr>
        <w:t>☐</w:t>
      </w:r>
    </w:p>
    <w:p>
      <w:pPr>
        <w:pStyle w:val="TextBody"/>
        <w:bidi w:val="0"/>
        <w:spacing w:lineRule="auto" w:line="288" w:before="0" w:after="0"/>
        <w:jc w:val="both"/>
        <w:rPr>
          <w:color w:val="000000"/>
        </w:rPr>
      </w:pPr>
      <w:r>
        <w:rPr>
          <w:color w:val="000000"/>
        </w:rPr>
        <w:t> </w:t>
      </w:r>
    </w:p>
    <w:tbl>
      <w:tblPr>
        <w:tblW w:w="9449" w:type="dxa"/>
        <w:jc w:val="left"/>
        <w:tblInd w:w="0" w:type="dxa"/>
        <w:tblLayout w:type="fixed"/>
        <w:tblCellMar>
          <w:top w:w="28" w:type="dxa"/>
          <w:left w:w="28" w:type="dxa"/>
          <w:bottom w:w="28" w:type="dxa"/>
          <w:right w:w="28" w:type="dxa"/>
        </w:tblCellMar>
      </w:tblPr>
      <w:tblGrid>
        <w:gridCol w:w="3026"/>
        <w:gridCol w:w="2655"/>
        <w:gridCol w:w="3768"/>
      </w:tblGrid>
      <w:tr>
        <w:trPr/>
        <w:tc>
          <w:tcPr>
            <w:tcW w:w="3026" w:type="dxa"/>
            <w:tcBorders/>
            <w:vAlign w:val="center"/>
          </w:tcPr>
          <w:p>
            <w:pPr>
              <w:pStyle w:val="TableContents"/>
              <w:bidi w:val="0"/>
              <w:spacing w:before="0" w:after="283"/>
              <w:jc w:val="left"/>
              <w:rPr>
                <w:sz w:val="4"/>
                <w:szCs w:val="4"/>
              </w:rPr>
            </w:pPr>
            <w:r>
              <w:rPr>
                <w:sz w:val="4"/>
                <w:szCs w:val="4"/>
              </w:rPr>
            </w:r>
          </w:p>
        </w:tc>
        <w:tc>
          <w:tcPr>
            <w:tcW w:w="2655" w:type="dxa"/>
            <w:tcBorders/>
            <w:vAlign w:val="center"/>
          </w:tcPr>
          <w:p>
            <w:pPr>
              <w:pStyle w:val="TableContents"/>
              <w:bidi w:val="0"/>
              <w:spacing w:before="0" w:after="283"/>
              <w:jc w:val="left"/>
              <w:rPr>
                <w:sz w:val="4"/>
                <w:szCs w:val="4"/>
              </w:rPr>
            </w:pPr>
            <w:r>
              <w:rPr>
                <w:sz w:val="4"/>
                <w:szCs w:val="4"/>
              </w:rPr>
            </w:r>
          </w:p>
        </w:tc>
        <w:tc>
          <w:tcPr>
            <w:tcW w:w="3768" w:type="dxa"/>
            <w:tcBorders/>
            <w:vAlign w:val="center"/>
          </w:tcPr>
          <w:p>
            <w:pPr>
              <w:pStyle w:val="TableContents"/>
              <w:bidi w:val="0"/>
              <w:spacing w:before="0" w:after="283"/>
              <w:jc w:val="left"/>
              <w:rPr>
                <w:sz w:val="4"/>
                <w:szCs w:val="4"/>
              </w:rPr>
            </w:pPr>
            <w:r>
              <w:rPr>
                <w:sz w:val="4"/>
                <w:szCs w:val="4"/>
              </w:rPr>
            </w:r>
          </w:p>
        </w:tc>
      </w:tr>
      <w:tr>
        <w:trPr/>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49"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Securities Act registration statement or Regulation A offering statement file number to which this form relates: N/A</w:t>
            </w:r>
          </w:p>
        </w:tc>
      </w:tr>
    </w:tbl>
    <w:p>
      <w:pPr>
        <w:pStyle w:val="TextBody"/>
        <w:bidi w:val="0"/>
        <w:spacing w:lineRule="auto" w:line="288"/>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1" w:before="0" w:after="160"/>
        <w:jc w:val="left"/>
        <w:rPr>
          <w:rFonts w:ascii="Times New Roman;serif" w:hAnsi="Times New Roman;serif"/>
          <w:b w:val="false"/>
          <w:color w:val="000000"/>
          <w:sz w:val="20"/>
        </w:rPr>
      </w:pPr>
      <w:r>
        <w:rPr>
          <w:rFonts w:ascii="Times New Roman;serif" w:hAnsi="Times New Roman;serif"/>
          <w:b w:val="false"/>
          <w:color w:val="000000"/>
          <w:sz w:val="20"/>
        </w:rPr>
        <w:t>Securities to be registered pursuant to Section 12(g) of the Act: N/A</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EXPLANATORY NOTE</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This Registration Statement on Form 8-A (this “Form 8-A”) is being filed by Westlake Corporation (the “Company”), with the Securities and Exchange Commission (the “SEC”) in connection with the dual listing of its common stock, par value $0.01 per share (the “Common Stock”), with the NYSE Texas, Inc. under the trading symbol “WLK.” The Common Stock is currently listed on the New York Stock Exchange under the symbol “WLK.”</w:t>
      </w:r>
    </w:p>
    <w:p>
      <w:pPr>
        <w:pStyle w:val="TextBody"/>
        <w:bidi w:val="0"/>
        <w:spacing w:lineRule="auto" w:line="288" w:before="0" w:after="0"/>
        <w:jc w:val="both"/>
        <w:rPr>
          <w:color w:val="000000"/>
        </w:rPr>
      </w:pPr>
      <w:r>
        <w:rPr>
          <w:color w:val="000000"/>
        </w:rPr>
        <w:t> </w:t>
      </w:r>
    </w:p>
    <w:tbl>
      <w:tblPr>
        <w:tblW w:w="6314" w:type="dxa"/>
        <w:jc w:val="left"/>
        <w:tblInd w:w="0" w:type="dxa"/>
        <w:tblLayout w:type="fixed"/>
        <w:tblCellMar>
          <w:top w:w="28" w:type="dxa"/>
          <w:left w:w="28" w:type="dxa"/>
          <w:bottom w:w="28" w:type="dxa"/>
          <w:right w:w="28" w:type="dxa"/>
        </w:tblCellMar>
      </w:tblPr>
      <w:tblGrid>
        <w:gridCol w:w="294"/>
        <w:gridCol w:w="257"/>
        <w:gridCol w:w="259"/>
        <w:gridCol w:w="1609"/>
        <w:gridCol w:w="1609"/>
        <w:gridCol w:w="2286"/>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2286"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Item 1.</w:t>
            </w:r>
          </w:p>
        </w:tc>
        <w:tc>
          <w:tcPr>
            <w:tcW w:w="5504"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Description of Registrant’s Securities to be Registered.</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The description of the Common Stock, as may be amended from time to time, contained in Exhibit 4.1 of the Company’s most recent Annual Report on Form 10-K, as filed with the SEC on February 26, 2026, to which this Form 8-A relates, is incorporated herein by reference.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We expect the listing and trading of the Common Stock on the NYSE Texas, Inc. to commence on August 24, 2026 under the symbol “WLK.”</w:t>
      </w:r>
    </w:p>
    <w:p>
      <w:pPr>
        <w:pStyle w:val="TextBody"/>
        <w:bidi w:val="0"/>
        <w:spacing w:lineRule="auto" w:line="288" w:before="0" w:after="0"/>
        <w:jc w:val="left"/>
        <w:rPr>
          <w:color w:val="000000"/>
        </w:rPr>
      </w:pPr>
      <w:r>
        <w:rPr>
          <w:color w:val="000000"/>
        </w:rPr>
        <w:t> </w:t>
      </w:r>
    </w:p>
    <w:tbl>
      <w:tblPr>
        <w:tblW w:w="1816" w:type="dxa"/>
        <w:jc w:val="left"/>
        <w:tblInd w:w="0" w:type="dxa"/>
        <w:tblLayout w:type="fixed"/>
        <w:tblCellMar>
          <w:top w:w="28" w:type="dxa"/>
          <w:left w:w="28" w:type="dxa"/>
          <w:bottom w:w="28" w:type="dxa"/>
          <w:right w:w="28" w:type="dxa"/>
        </w:tblCellMar>
      </w:tblPr>
      <w:tblGrid>
        <w:gridCol w:w="294"/>
        <w:gridCol w:w="257"/>
        <w:gridCol w:w="259"/>
        <w:gridCol w:w="294"/>
        <w:gridCol w:w="294"/>
        <w:gridCol w:w="418"/>
      </w:tblGrid>
      <w:tr>
        <w:trPr/>
        <w:tc>
          <w:tcPr>
            <w:tcW w:w="29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0"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Item 2.</w:t>
            </w:r>
          </w:p>
        </w:tc>
        <w:tc>
          <w:tcPr>
            <w:tcW w:w="1006" w:type="dxa"/>
            <w:gridSpan w:val="3"/>
            <w:tcBorders/>
            <w:tcMar>
              <w:top w:w="0" w:type="dxa"/>
              <w:left w:w="0" w:type="dxa"/>
              <w:bottom w:w="0" w:type="dxa"/>
              <w:right w:w="0" w:type="dxa"/>
            </w:tcMar>
            <w:vAlign w:val="center"/>
          </w:tcPr>
          <w:p>
            <w:pPr>
              <w:pStyle w:val="TableContents"/>
              <w:bidi w:val="0"/>
              <w:spacing w:lineRule="auto" w:line="321" w:before="0" w:after="160"/>
              <w:jc w:val="left"/>
              <w:rPr>
                <w:rFonts w:ascii="Times New Roman;serif" w:hAnsi="Times New Roman;serif"/>
                <w:b/>
                <w:color w:val="000000"/>
                <w:sz w:val="22"/>
              </w:rPr>
            </w:pPr>
            <w:r>
              <w:rPr>
                <w:rFonts w:ascii="Times New Roman;serif" w:hAnsi="Times New Roman;serif"/>
                <w:b/>
                <w:color w:val="000000"/>
                <w:sz w:val="22"/>
              </w:rPr>
              <w:t>Exhibits.</w:t>
            </w:r>
          </w:p>
        </w:tc>
      </w:tr>
    </w:tbl>
    <w:p>
      <w:pPr>
        <w:pStyle w:val="TextBody"/>
        <w:bidi w:val="0"/>
        <w:spacing w:lineRule="auto" w:line="288" w:before="0" w:after="0"/>
        <w:jc w:val="left"/>
        <w:rPr>
          <w:color w:val="000000"/>
        </w:rPr>
      </w:pPr>
      <w:r>
        <w:rPr>
          <w:color w:val="000000"/>
        </w:rPr>
        <w:t> </w:t>
      </w:r>
    </w:p>
    <w:p>
      <w:pPr>
        <w:pStyle w:val="TextBody"/>
        <w:bidi w:val="0"/>
        <w:spacing w:lineRule="auto" w:line="321" w:before="0" w:after="160"/>
        <w:jc w:val="left"/>
        <w:rPr>
          <w:rFonts w:ascii="Times New Roman;serif" w:hAnsi="Times New Roman;serif"/>
          <w:b w:val="false"/>
          <w:color w:val="000000"/>
          <w:sz w:val="22"/>
        </w:rPr>
      </w:pPr>
      <w:r>
        <w:rPr>
          <w:rFonts w:ascii="Times New Roman;serif" w:hAnsi="Times New Roman;serif"/>
          <w:b w:val="false"/>
          <w:color w:val="000000"/>
          <w:sz w:val="22"/>
        </w:rPr>
        <w:t>Pursuant to the Instructions as to Exhibits for Form 8-A, no exhibits are required to be filed herewith because no other securities of the Registrant are registered on the NYSE Texas, Inc., and the securities registered hereby are not being registered pursuant to Section 12(g) of the Securities Exchange Act of 1934, as amended.</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26"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0" w:after="0"/>
        <w:jc w:val="left"/>
        <w:rPr/>
      </w:pPr>
      <w:r>
        <w:rPr/>
      </w:r>
    </w:p>
    <w:p>
      <w:pPr>
        <w:pStyle w:val="TextBody"/>
        <w:bidi w:val="0"/>
        <w:spacing w:lineRule="auto" w:line="312" w:before="0" w:after="0"/>
        <w:jc w:val="both"/>
        <w:rPr>
          <w:rFonts w:ascii="Times New Roman;serif" w:hAnsi="Times New Roman;serif"/>
          <w:b w:val="false"/>
          <w:color w:val="000000"/>
          <w:sz w:val="22"/>
        </w:rPr>
      </w:pPr>
      <w:r>
        <w:rPr>
          <w:rFonts w:ascii="Times New Roman;serif" w:hAnsi="Times New Roman;serif"/>
          <w:b w:val="false"/>
          <w:color w:val="000000"/>
          <w:sz w:val="22"/>
        </w:rPr>
        <w:t>Pursuant to the requirements of Section 12 of the Securities Exchange Act of 1934, the Registrant has duly caused this registration statement to be signed on its behalf by the undersigned hereunto duly authorized.</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9098" w:type="dxa"/>
        <w:jc w:val="left"/>
        <w:tblInd w:w="0" w:type="dxa"/>
        <w:tblLayout w:type="fixed"/>
        <w:tblCellMar>
          <w:top w:w="28" w:type="dxa"/>
          <w:left w:w="28" w:type="dxa"/>
          <w:bottom w:w="28" w:type="dxa"/>
          <w:right w:w="28" w:type="dxa"/>
        </w:tblCellMar>
      </w:tblPr>
      <w:tblGrid>
        <w:gridCol w:w="814"/>
        <w:gridCol w:w="716"/>
        <w:gridCol w:w="719"/>
        <w:gridCol w:w="503"/>
        <w:gridCol w:w="503"/>
        <w:gridCol w:w="503"/>
        <w:gridCol w:w="1556"/>
        <w:gridCol w:w="1556"/>
        <w:gridCol w:w="2228"/>
      </w:tblGrid>
      <w:tr>
        <w:trPr/>
        <w:tc>
          <w:tcPr>
            <w:tcW w:w="8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1556"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9" w:type="dxa"/>
            <w:gridSpan w:val="6"/>
            <w:tcBorders/>
            <w:tcMar>
              <w:top w:w="0" w:type="dxa"/>
              <w:left w:w="0" w:type="dxa"/>
              <w:bottom w:w="0" w:type="dxa"/>
              <w:right w:w="0" w:type="dxa"/>
            </w:tcMar>
            <w:vAlign w:val="center"/>
          </w:tcPr>
          <w:p>
            <w:pPr>
              <w:pStyle w:val="TableContents"/>
              <w:bidi w:val="0"/>
              <w:spacing w:lineRule="auto" w:line="312" w:before="75" w:after="30"/>
              <w:jc w:val="both"/>
              <w:rPr>
                <w:rFonts w:ascii="Times New Roman;serif" w:hAnsi="Times New Roman;serif"/>
                <w:b/>
                <w:color w:val="000000"/>
                <w:sz w:val="22"/>
              </w:rPr>
            </w:pPr>
            <w:r>
              <w:rPr>
                <w:rFonts w:ascii="Times New Roman;serif" w:hAnsi="Times New Roman;serif"/>
                <w:b/>
                <w:color w:val="000000"/>
                <w:sz w:val="22"/>
              </w:rPr>
              <w:t>WESTLAKE CORPORATION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312" w:before="75" w:after="30"/>
              <w:jc w:val="both"/>
              <w:rPr>
                <w:rFonts w:ascii="Times New Roman;serif" w:hAnsi="Times New Roman;serif"/>
                <w:b w:val="false"/>
                <w:color w:val="000000"/>
                <w:sz w:val="22"/>
              </w:rPr>
            </w:pPr>
            <w:r>
              <w:rPr>
                <w:rFonts w:ascii="Times New Roman;serif" w:hAnsi="Times New Roman;serif"/>
                <w:b w:val="false"/>
                <w:color w:val="000000"/>
                <w:sz w:val="22"/>
              </w:rPr>
              <w:t>Date: August 21, 2026</w:t>
            </w:r>
          </w:p>
        </w:tc>
        <w:tc>
          <w:tcPr>
            <w:tcW w:w="1509" w:type="dxa"/>
            <w:gridSpan w:val="3"/>
            <w:tcBorders/>
            <w:tcMar>
              <w:top w:w="0" w:type="dxa"/>
              <w:left w:w="0" w:type="dxa"/>
              <w:bottom w:w="0" w:type="dxa"/>
              <w:right w:w="0" w:type="dxa"/>
            </w:tcMar>
            <w:vAlign w:val="center"/>
          </w:tcPr>
          <w:p>
            <w:pPr>
              <w:pStyle w:val="TableContents"/>
              <w:bidi w:val="0"/>
              <w:spacing w:lineRule="auto" w:line="312" w:before="75" w:after="30"/>
              <w:jc w:val="both"/>
              <w:rPr>
                <w:rFonts w:ascii="Times New Roman;serif" w:hAnsi="Times New Roman;serif"/>
                <w:b w:val="false"/>
                <w:color w:val="000000"/>
                <w:sz w:val="22"/>
              </w:rPr>
            </w:pPr>
            <w:r>
              <w:rPr>
                <w:rFonts w:ascii="Times New Roman;serif" w:hAnsi="Times New Roman;serif"/>
                <w:b w:val="false"/>
                <w:color w:val="000000"/>
                <w:sz w:val="22"/>
              </w:rPr>
              <w:t>By:</w:t>
            </w:r>
          </w:p>
        </w:tc>
        <w:tc>
          <w:tcPr>
            <w:tcW w:w="5340" w:type="dxa"/>
            <w:gridSpan w:val="3"/>
            <w:tcBorders/>
            <w:tcMar>
              <w:top w:w="0" w:type="dxa"/>
              <w:left w:w="0" w:type="dxa"/>
              <w:bottom w:w="0" w:type="dxa"/>
              <w:right w:w="0" w:type="dxa"/>
            </w:tcMar>
            <w:vAlign w:val="center"/>
          </w:tcPr>
          <w:p>
            <w:pPr>
              <w:pStyle w:val="TableContents"/>
              <w:bidi w:val="0"/>
              <w:spacing w:lineRule="auto" w:line="312" w:before="75" w:after="30"/>
              <w:jc w:val="both"/>
              <w:rPr>
                <w:rFonts w:ascii="Times New Roman;serif" w:hAnsi="Times New Roman;serif"/>
                <w:b w:val="false"/>
                <w:color w:val="000000"/>
                <w:sz w:val="24"/>
              </w:rPr>
            </w:pPr>
            <w:r>
              <w:rPr>
                <w:rFonts w:ascii="Times New Roman;serif" w:hAnsi="Times New Roman;serif"/>
                <w:b w:val="false"/>
                <w:color w:val="000000"/>
                <w:sz w:val="24"/>
              </w:rPr>
              <w:t>/s/ L. Benjamin Ederington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12" w:before="55" w:after="30"/>
              <w:jc w:val="both"/>
              <w:rPr>
                <w:rFonts w:ascii="Times New Roman;serif" w:hAnsi="Times New Roman;serif"/>
                <w:b/>
                <w:color w:val="000000"/>
                <w:sz w:val="22"/>
              </w:rPr>
            </w:pPr>
            <w:r>
              <w:rPr>
                <w:rFonts w:ascii="Times New Roman;serif" w:hAnsi="Times New Roman;serif"/>
                <w:b/>
                <w:color w:val="000000"/>
                <w:sz w:val="22"/>
              </w:rPr>
              <w:t>L. Benjamin Ederington</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3"/>
            <w:tcBorders/>
            <w:tcMar>
              <w:top w:w="0" w:type="dxa"/>
              <w:left w:w="0" w:type="dxa"/>
              <w:bottom w:w="0" w:type="dxa"/>
              <w:right w:w="0" w:type="dxa"/>
            </w:tcMar>
            <w:vAlign w:val="center"/>
          </w:tcPr>
          <w:p>
            <w:pPr>
              <w:pStyle w:val="TableContents"/>
              <w:bidi w:val="0"/>
              <w:spacing w:lineRule="auto" w:line="312" w:before="75" w:after="30"/>
              <w:jc w:val="left"/>
              <w:rPr>
                <w:rFonts w:ascii="Times New Roman;serif" w:hAnsi="Times New Roman;serif"/>
                <w:b/>
                <w:color w:val="000000"/>
                <w:sz w:val="22"/>
              </w:rPr>
            </w:pPr>
            <w:r>
              <w:rPr>
                <w:rFonts w:ascii="Times New Roman;serif" w:hAnsi="Times New Roman;serif"/>
                <w:b/>
                <w:color w:val="000000"/>
                <w:sz w:val="22"/>
              </w:rPr>
              <w:t>Executive Vice President, Legal and External Affairs</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500</Words>
  <Characters>2590</Characters>
  <CharactersWithSpaces>3064</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