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6993890" cy="538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538861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Chao Albert</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2801 POST OAK BLVD., STE. 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WESTLAKE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WLK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02/19/2026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0000FF"/>
        </w:rPr>
        <w:t>Executive Chairman</w:t>
      </w:r>
    </w:p>
    <w:p>
      <w:pPr>
        <w:spacing w:after="0" w:line="277"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p>
      <w:pPr>
        <w:spacing w:after="0" w:line="9" w:lineRule="exact"/>
        <w:rPr>
          <w:sz w:val="24"/>
          <w:szCs w:val="24"/>
          <w:color w:val="auto"/>
        </w:rPr>
      </w:pPr>
    </w:p>
    <w:tbl>
      <w:tblPr>
        <w:tblLayout w:type="fixed"/>
        <w:tblInd w:w="0" w:type="dxa"/>
        <w:tblCellMar>
          <w:top w:w="0" w:type="dxa"/>
          <w:left w:w="0" w:type="dxa"/>
          <w:bottom w:w="0" w:type="dxa"/>
          <w:right w:w="0" w:type="dxa"/>
        </w:tblCellMar>
      </w:tblP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600" w:type="dxa"/>
            <w:vAlign w:val="bottom"/>
            <w:gridSpan w:val="7"/>
            <w:vMerge w:val="restart"/>
          </w:tcPr>
          <w:p>
            <w:pPr>
              <w:jc w:val="center"/>
              <w:spacing w:after="0"/>
              <w:rPr>
                <w:sz w:val="20"/>
                <w:szCs w:val="20"/>
                <w:color w:val="auto"/>
              </w:rPr>
            </w:pPr>
            <w:r>
              <w:rPr>
                <w:rFonts w:ascii="Arial" w:cs="Arial" w:eastAsia="Arial" w:hAnsi="Arial"/>
                <w:sz w:val="13"/>
                <w:szCs w:val="13"/>
                <w:color w:val="auto"/>
                <w:w w:val="98"/>
              </w:rPr>
              <w:t>4. If Amendment, Date of Original Filed (Month/Day/Year)</w:t>
            </w:r>
          </w:p>
        </w:tc>
        <w:tc>
          <w:tcPr>
            <w:tcW w:w="3720" w:type="dxa"/>
            <w:vAlign w:val="bottom"/>
            <w:gridSpan w:val="10"/>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0" w:type="dxa"/>
            <w:vAlign w:val="bottom"/>
            <w:gridSpan w:val="7"/>
            <w:vMerge w:val="continue"/>
          </w:tcPr>
          <w:p>
            <w:pPr>
              <w:spacing w:after="0"/>
              <w:rPr>
                <w:sz w:val="10"/>
                <w:szCs w:val="10"/>
                <w:color w:val="auto"/>
              </w:rPr>
            </w:pPr>
          </w:p>
        </w:tc>
        <w:tc>
          <w:tcPr>
            <w:tcW w:w="37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77056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Borders>
              <w:top w:val="single" w:sz="8" w:color="EEEEEE"/>
            </w:tcBorders>
          </w:tcPr>
          <w:p>
            <w:pPr>
              <w:spacing w:after="0"/>
              <w:rPr>
                <w:sz w:val="15"/>
                <w:szCs w:val="15"/>
                <w:color w:val="auto"/>
              </w:rPr>
            </w:pPr>
          </w:p>
        </w:tc>
        <w:tc>
          <w:tcPr>
            <w:tcW w:w="118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Borders>
              <w:top w:val="single" w:sz="8" w:color="EEEEEE"/>
            </w:tcBorders>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jc w:val="center"/>
              <w:ind w:left="716"/>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2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30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02/19/2026</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2"/>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6,193</w:t>
            </w:r>
            <w:r>
              <w:rPr>
                <w:rFonts w:ascii="Times New Roman" w:cs="Times New Roman" w:eastAsia="Times New Roman" w:hAnsi="Times New Roman"/>
                <w:sz w:val="21"/>
                <w:szCs w:val="21"/>
                <w:color w:val="008000"/>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ind w:right="7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645,381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3"/>
          </w:tcPr>
          <w:p>
            <w:pPr>
              <w:ind w:left="740"/>
              <w:spacing w:after="0"/>
              <w:rPr>
                <w:sz w:val="20"/>
                <w:szCs w:val="20"/>
                <w:color w:val="auto"/>
              </w:rPr>
            </w:pPr>
            <w:r>
              <w:rPr>
                <w:rFonts w:ascii="Times New Roman" w:cs="Times New Roman" w:eastAsia="Times New Roman" w:hAnsi="Times New Roman"/>
                <w:sz w:val="17"/>
                <w:szCs w:val="17"/>
                <w:color w:val="0000FF"/>
              </w:rPr>
              <w:t>02/20/2026</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2"/>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2,501</w:t>
            </w:r>
            <w:r>
              <w:rPr>
                <w:rFonts w:ascii="Times New Roman" w:cs="Times New Roman" w:eastAsia="Times New Roman" w:hAnsi="Times New Roman"/>
                <w:sz w:val="21"/>
                <w:szCs w:val="21"/>
                <w:color w:val="008000"/>
                <w:vertAlign w:val="superscript"/>
              </w:rPr>
              <w:t>(2)</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94.101</w:t>
            </w:r>
            <w:r>
              <w:rPr>
                <w:rFonts w:ascii="Times New Roman" w:cs="Times New Roman" w:eastAsia="Times New Roman" w:hAnsi="Times New Roman"/>
                <w:sz w:val="21"/>
                <w:szCs w:val="21"/>
                <w:color w:val="008000"/>
                <w:w w:val="96"/>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642,880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72"/>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94.48</w:t>
            </w:r>
          </w:p>
        </w:tc>
        <w:tc>
          <w:tcPr>
            <w:tcW w:w="140" w:type="dxa"/>
            <w:vAlign w:val="bottom"/>
          </w:tcPr>
          <w:p>
            <w:pPr>
              <w:spacing w:after="0"/>
              <w:rPr>
                <w:sz w:val="16"/>
                <w:szCs w:val="16"/>
                <w:color w:val="auto"/>
              </w:rPr>
            </w:pPr>
          </w:p>
        </w:tc>
        <w:tc>
          <w:tcPr>
            <w:tcW w:w="104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0000FF"/>
              </w:rPr>
              <w:t>02/20/2026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6"/>
                <w:szCs w:val="16"/>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54,763</w:t>
            </w:r>
          </w:p>
        </w:tc>
        <w:tc>
          <w:tcPr>
            <w:tcW w:w="300" w:type="dxa"/>
            <w:vAlign w:val="bottom"/>
          </w:tcPr>
          <w:p>
            <w:pPr>
              <w:spacing w:after="0"/>
              <w:rPr>
                <w:sz w:val="16"/>
                <w:szCs w:val="16"/>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0000FF"/>
              </w:rPr>
              <w:t>02/20/2036</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54,763</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94"/>
              </w:rPr>
              <w:t>54,763</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center"/>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008000"/>
              </w:rPr>
              <w:t>(5)</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14,945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136"/>
              <w:spacing w:after="0" w:line="129" w:lineRule="exact"/>
              <w:rPr>
                <w:sz w:val="20"/>
                <w:szCs w:val="20"/>
                <w:color w:val="auto"/>
              </w:rPr>
            </w:pPr>
            <w:r>
              <w:rPr>
                <w:rFonts w:ascii="Times New Roman" w:cs="Times New Roman" w:eastAsia="Times New Roman" w:hAnsi="Times New Roman"/>
                <w:sz w:val="13"/>
                <w:szCs w:val="13"/>
                <w:color w:val="0000FF"/>
              </w:rPr>
              <w:t>02/20/2026</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200" w:type="dxa"/>
            <w:vAlign w:val="bottom"/>
          </w:tcPr>
          <w:p>
            <w:pPr>
              <w:spacing w:after="0"/>
              <w:rPr>
                <w:sz w:val="11"/>
                <w:szCs w:val="11"/>
                <w:color w:val="auto"/>
              </w:rPr>
            </w:pPr>
          </w:p>
        </w:tc>
        <w:tc>
          <w:tcPr>
            <w:tcW w:w="520" w:type="dxa"/>
            <w:vAlign w:val="bottom"/>
          </w:tcPr>
          <w:p>
            <w:pPr>
              <w:ind w:left="100"/>
              <w:spacing w:after="0" w:line="129" w:lineRule="exact"/>
              <w:rPr>
                <w:sz w:val="20"/>
                <w:szCs w:val="20"/>
                <w:color w:val="auto"/>
              </w:rPr>
            </w:pPr>
            <w:r>
              <w:rPr>
                <w:rFonts w:ascii="Times New Roman" w:cs="Times New Roman" w:eastAsia="Times New Roman" w:hAnsi="Times New Roman"/>
                <w:sz w:val="13"/>
                <w:szCs w:val="13"/>
                <w:color w:val="0000FF"/>
              </w:rPr>
              <w:t>14,945</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ind w:left="1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240"/>
              <w:spacing w:after="0" w:line="129" w:lineRule="exact"/>
              <w:rPr>
                <w:sz w:val="20"/>
                <w:szCs w:val="20"/>
                <w:color w:val="auto"/>
              </w:rPr>
            </w:pPr>
            <w:r>
              <w:rPr>
                <w:rFonts w:ascii="Times New Roman" w:cs="Times New Roman" w:eastAsia="Times New Roman" w:hAnsi="Times New Roman"/>
                <w:sz w:val="13"/>
                <w:szCs w:val="13"/>
                <w:color w:val="0000FF"/>
                <w:w w:val="94"/>
              </w:rPr>
              <w:t>14,945</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-2452370</wp:posOffset>
            </wp:positionV>
            <wp:extent cx="29210" cy="2457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4574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42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that vested on February 19, 2026, upon the determination by the Compensation Committee of the Issuer's Board of Directors of the satisfaction of performance criteria underlying an award of performance stock units ("PSUs") granted to the Reporting Person on February 17, 2023, under the terms of the Issuer's 2013 Omnibus Incentive Plan.</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otherwise issuable were witheld to satisfy tax obligations arising out of vesting of the Reporting Person's PSUs.</w:t>
      </w:r>
    </w:p>
    <w:p>
      <w:pPr>
        <w:spacing w:after="0" w:line="43" w:lineRule="exact"/>
        <w:rPr>
          <w:rFonts w:ascii="Times New Roman" w:cs="Times New Roman" w:eastAsia="Times New Roman" w:hAnsi="Times New Roman"/>
          <w:sz w:val="13"/>
          <w:szCs w:val="13"/>
          <w:color w:val="008000"/>
        </w:rPr>
      </w:pPr>
    </w:p>
    <w:p>
      <w:pPr>
        <w:ind w:left="40" w:right="34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Weighted average price. These shares were sold in multiple transactions at prices ranging from $94.10 to $94.38, inclusive. The Reporting Person undertakes to provide the Issuer, any security holder of the Issuer, or the staff of the SEC, upon request, full information regarding the number of shares sold at each separate price within the range set forth above.</w:t>
      </w:r>
    </w:p>
    <w:p>
      <w:pPr>
        <w:spacing w:after="0" w:line="17"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options are excercisable in three installments of 33%, 33% and 34% on February 20, 2027, 2028 and 2029, respectively.</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recieve one share of the Issuer's common stock.</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RSUs will vest on February 20, 2029.</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7"/>
              </w:rPr>
              <w:t>Albert Chao by J. Feng, POA</w:t>
            </w:r>
          </w:p>
        </w:tc>
        <w:tc>
          <w:tcPr>
            <w:tcW w:w="22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02/23/2026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99403" TargetMode="External"/><Relationship Id="rId14" Type="http://schemas.openxmlformats.org/officeDocument/2006/relationships/hyperlink" Target="http://www.sec.gov/cgi-bin/browse-edgar?action=getcompany&amp;CIK=00012628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2026-02-23T13:48:06Z</dcterms:created>
  <dcterms:modified xsi:type="dcterms:W3CDTF">2026-02-23T13:48:06Z</dcterms:modified>
</cp:coreProperties>
</file>